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AA2D088">
      <w:pPr>
        <w:spacing w:before="468" w:beforeLines="150" w:after="468" w:afterLines="150" w:line="360" w:lineRule="auto"/>
        <w:ind w:firstLine="560"/>
        <w:rPr>
          <w:rFonts w:ascii="黑体" w:eastAsia="黑体"/>
          <w:color w:val="auto"/>
          <w:szCs w:val="28"/>
        </w:rPr>
      </w:pPr>
      <w:bookmarkStart w:id="78" w:name="_GoBack"/>
      <w:bookmarkEnd w:id="78"/>
      <w:bookmarkStart w:id="0" w:name="_Toc231533508"/>
      <w:bookmarkStart w:id="1" w:name="_Toc232560172"/>
      <w:bookmarkStart w:id="2" w:name="_Toc247445972"/>
      <w:bookmarkStart w:id="3" w:name="_Toc227751696"/>
      <w:bookmarkStart w:id="4" w:name="_Toc247183013"/>
      <w:bookmarkStart w:id="5" w:name="_Toc224463134"/>
      <w:r>
        <w:rPr>
          <w:rFonts w:ascii="黑体" w:eastAsia="黑体"/>
          <w:color w:val="auto"/>
          <w:position w:val="-4"/>
          <w:szCs w:val="28"/>
        </w:rPr>
        <w:object>
          <v:shape id="_x0000_i1025" o:spt="75" type="#_x0000_t75" style="height:13.15pt;width:7.5pt;" o:ole="t" filled="f" o:preferrelative="t" stroked="f" coordsize="21600,21600">
            <v:path/>
            <v:fill on="f" focussize="0,0"/>
            <v:stroke on="f" joinstyle="miter"/>
            <v:imagedata r:id="rId13" o:title=""/>
            <o:lock v:ext="edit" aspectratio="t"/>
            <w10:wrap type="none"/>
            <w10:anchorlock/>
          </v:shape>
          <o:OLEObject Type="Embed" ProgID="Equation.DSMT4" ShapeID="_x0000_i1025" DrawAspect="Content" ObjectID="_1468075725" r:id="rId12">
            <o:LockedField>false</o:LockedField>
          </o:OLEObject>
        </w:object>
      </w:r>
    </w:p>
    <w:p w14:paraId="2326B658">
      <w:pPr>
        <w:spacing w:before="468" w:beforeLines="150" w:after="468" w:afterLines="150" w:line="360" w:lineRule="auto"/>
        <w:ind w:firstLine="0" w:firstLineChars="0"/>
        <w:rPr>
          <w:rFonts w:ascii="黑体" w:eastAsia="黑体"/>
          <w:color w:val="auto"/>
          <w:szCs w:val="28"/>
        </w:rPr>
      </w:pPr>
    </w:p>
    <w:p w14:paraId="439B3CD8">
      <w:pPr>
        <w:spacing w:before="468" w:beforeLines="150" w:after="468" w:afterLines="150" w:line="360" w:lineRule="auto"/>
        <w:ind w:firstLine="0" w:firstLineChars="0"/>
        <w:jc w:val="center"/>
        <w:rPr>
          <w:rFonts w:ascii="黑体" w:eastAsia="黑体"/>
          <w:color w:val="auto"/>
          <w:sz w:val="36"/>
          <w:szCs w:val="36"/>
        </w:rPr>
      </w:pPr>
      <w:r>
        <w:rPr>
          <w:rFonts w:hint="eastAsia" w:ascii="黑体" w:eastAsia="黑体"/>
          <w:color w:val="auto"/>
          <w:sz w:val="36"/>
          <w:szCs w:val="36"/>
        </w:rPr>
        <w:t>《温室气体排放核算与报告要求第XX部分：生活污水处理企业（</w:t>
      </w:r>
      <w:r>
        <w:rPr>
          <w:rFonts w:hint="eastAsia" w:ascii="黑体" w:eastAsia="黑体"/>
          <w:color w:val="auto"/>
          <w:sz w:val="36"/>
          <w:szCs w:val="36"/>
          <w:lang w:val="en-US" w:eastAsia="zh-CN"/>
        </w:rPr>
        <w:t>征求意见</w:t>
      </w:r>
      <w:r>
        <w:rPr>
          <w:rFonts w:hint="eastAsia" w:ascii="黑体" w:eastAsia="黑体"/>
          <w:color w:val="auto"/>
          <w:sz w:val="36"/>
          <w:szCs w:val="36"/>
        </w:rPr>
        <w:t>稿）》编制说明</w:t>
      </w:r>
    </w:p>
    <w:p w14:paraId="357A0342">
      <w:pPr>
        <w:spacing w:before="312" w:beforeLines="100" w:after="312" w:afterLines="100" w:line="360" w:lineRule="auto"/>
        <w:ind w:firstLine="560"/>
        <w:rPr>
          <w:rFonts w:ascii="黑体" w:eastAsia="黑体"/>
          <w:color w:val="auto"/>
          <w:szCs w:val="28"/>
        </w:rPr>
      </w:pPr>
    </w:p>
    <w:p w14:paraId="24DBDE2F">
      <w:pPr>
        <w:spacing w:before="312" w:beforeLines="100" w:after="312" w:afterLines="100" w:line="360" w:lineRule="auto"/>
        <w:ind w:firstLine="560"/>
        <w:rPr>
          <w:rFonts w:ascii="黑体" w:eastAsia="黑体"/>
          <w:color w:val="auto"/>
          <w:szCs w:val="28"/>
        </w:rPr>
      </w:pPr>
    </w:p>
    <w:p w14:paraId="21E7776F">
      <w:pPr>
        <w:spacing w:before="312" w:beforeLines="100" w:after="312" w:afterLines="100" w:line="360" w:lineRule="auto"/>
        <w:ind w:firstLine="560"/>
        <w:rPr>
          <w:rFonts w:ascii="黑体" w:eastAsia="黑体"/>
          <w:color w:val="auto"/>
          <w:szCs w:val="28"/>
        </w:rPr>
      </w:pPr>
    </w:p>
    <w:p w14:paraId="47DDA64E">
      <w:pPr>
        <w:spacing w:before="312" w:beforeLines="100" w:after="312" w:afterLines="100" w:line="360" w:lineRule="auto"/>
        <w:ind w:firstLine="560"/>
        <w:rPr>
          <w:rFonts w:ascii="黑体" w:eastAsia="黑体"/>
          <w:color w:val="auto"/>
          <w:szCs w:val="28"/>
        </w:rPr>
      </w:pPr>
    </w:p>
    <w:p w14:paraId="1D41D508">
      <w:pPr>
        <w:spacing w:before="312" w:beforeLines="100" w:after="156" w:afterLines="50" w:line="360" w:lineRule="auto"/>
        <w:ind w:firstLine="0" w:firstLineChars="0"/>
        <w:jc w:val="center"/>
        <w:rPr>
          <w:rFonts w:ascii="黑体" w:eastAsia="黑体"/>
          <w:color w:val="auto"/>
          <w:szCs w:val="28"/>
        </w:rPr>
      </w:pPr>
      <w:r>
        <w:rPr>
          <w:rFonts w:hint="eastAsia" w:ascii="黑体" w:eastAsia="黑体"/>
          <w:color w:val="auto"/>
          <w:szCs w:val="28"/>
        </w:rPr>
        <w:t>《温室气体排放核算与报告要求第XX部分：生活污水处理企业》编制组</w:t>
      </w:r>
    </w:p>
    <w:p w14:paraId="01964D75">
      <w:pPr>
        <w:spacing w:before="312" w:beforeLines="100" w:after="312" w:afterLines="100" w:line="360" w:lineRule="auto"/>
        <w:ind w:firstLine="0" w:firstLineChars="0"/>
        <w:jc w:val="center"/>
        <w:rPr>
          <w:rFonts w:ascii="黑体" w:eastAsia="黑体"/>
          <w:color w:val="auto"/>
          <w:szCs w:val="28"/>
        </w:rPr>
      </w:pPr>
      <w:r>
        <w:rPr>
          <w:rFonts w:ascii="黑体" w:eastAsia="黑体"/>
          <w:color w:val="auto"/>
          <w:szCs w:val="28"/>
        </w:rPr>
        <w:t>202</w:t>
      </w:r>
      <w:r>
        <w:rPr>
          <w:rFonts w:hint="eastAsia" w:ascii="黑体" w:eastAsia="黑体"/>
          <w:color w:val="auto"/>
          <w:szCs w:val="28"/>
          <w:lang w:val="en-US" w:eastAsia="zh-CN"/>
        </w:rPr>
        <w:t>5</w:t>
      </w:r>
      <w:r>
        <w:rPr>
          <w:rFonts w:hint="eastAsia" w:ascii="黑体" w:eastAsia="黑体"/>
          <w:color w:val="auto"/>
          <w:szCs w:val="28"/>
        </w:rPr>
        <w:t>年</w:t>
      </w:r>
      <w:r>
        <w:rPr>
          <w:rFonts w:hint="eastAsia" w:ascii="黑体" w:eastAsia="黑体"/>
          <w:color w:val="auto"/>
          <w:szCs w:val="28"/>
          <w:lang w:val="en-US" w:eastAsia="zh-CN"/>
        </w:rPr>
        <w:t>2</w:t>
      </w:r>
      <w:r>
        <w:rPr>
          <w:rFonts w:hint="eastAsia" w:ascii="黑体" w:eastAsia="黑体"/>
          <w:color w:val="auto"/>
          <w:szCs w:val="28"/>
        </w:rPr>
        <w:t>月</w:t>
      </w:r>
    </w:p>
    <w:p w14:paraId="7E2621CB">
      <w:pPr>
        <w:spacing w:before="312" w:beforeLines="100" w:after="312" w:afterLines="100" w:line="360" w:lineRule="auto"/>
        <w:ind w:firstLine="560"/>
        <w:rPr>
          <w:rFonts w:ascii="黑体" w:eastAsia="黑体"/>
          <w:color w:val="auto"/>
          <w:szCs w:val="28"/>
        </w:rPr>
      </w:pPr>
    </w:p>
    <w:p w14:paraId="7CBBF51E">
      <w:pPr>
        <w:spacing w:before="312" w:beforeLines="100" w:after="312" w:afterLines="100" w:line="360" w:lineRule="auto"/>
        <w:ind w:firstLine="560"/>
        <w:rPr>
          <w:rFonts w:ascii="黑体" w:eastAsia="黑体"/>
          <w:color w:val="auto"/>
          <w:szCs w:val="28"/>
        </w:rPr>
        <w:sectPr>
          <w:footerReference r:id="rId9" w:type="first"/>
          <w:headerReference r:id="rId5" w:type="default"/>
          <w:footerReference r:id="rId7" w:type="default"/>
          <w:headerReference r:id="rId6" w:type="even"/>
          <w:footerReference r:id="rId8" w:type="even"/>
          <w:pgSz w:w="11906" w:h="16838"/>
          <w:pgMar w:top="1440" w:right="1797" w:bottom="1440" w:left="1797" w:header="851" w:footer="992" w:gutter="0"/>
          <w:pgBorders>
            <w:top w:val="none" w:sz="0" w:space="0"/>
            <w:left w:val="none" w:sz="0" w:space="0"/>
            <w:bottom w:val="none" w:sz="0" w:space="0"/>
            <w:right w:val="none" w:sz="0" w:space="0"/>
          </w:pgBorders>
          <w:pgNumType w:fmt="decimal"/>
          <w:cols w:space="425" w:num="1"/>
          <w:titlePg/>
          <w:docGrid w:type="lines" w:linePitch="312" w:charSpace="0"/>
        </w:sectPr>
      </w:pPr>
    </w:p>
    <w:p w14:paraId="060D2C92">
      <w:pPr>
        <w:pStyle w:val="100"/>
        <w:spacing w:before="468" w:line="360" w:lineRule="auto"/>
        <w:jc w:val="center"/>
        <w:rPr>
          <w:rFonts w:hint="eastAsia" w:ascii="宋体" w:hAnsi="宋体" w:eastAsia="宋体" w:cs="宋体"/>
          <w:color w:val="auto"/>
          <w:sz w:val="28"/>
          <w:szCs w:val="28"/>
          <w:lang w:val="en-US" w:eastAsia="zh-CN"/>
        </w:rPr>
      </w:pPr>
      <w:r>
        <w:rPr>
          <w:rFonts w:hint="eastAsia" w:ascii="宋体" w:hAnsi="宋体" w:eastAsia="宋体" w:cs="宋体"/>
          <w:color w:val="auto"/>
          <w:sz w:val="28"/>
          <w:szCs w:val="28"/>
          <w:lang w:val="zh-CN"/>
        </w:rPr>
        <w:t xml:space="preserve">目  </w:t>
      </w:r>
      <w:r>
        <w:rPr>
          <w:rFonts w:hint="eastAsia" w:ascii="宋体" w:hAnsi="宋体" w:eastAsia="宋体" w:cs="宋体"/>
          <w:color w:val="auto"/>
          <w:sz w:val="28"/>
          <w:szCs w:val="28"/>
          <w:lang w:val="en-US" w:eastAsia="zh-CN"/>
        </w:rPr>
        <w:t>次</w:t>
      </w:r>
    </w:p>
    <w:p w14:paraId="606C085C">
      <w:pPr>
        <w:pStyle w:val="59"/>
        <w:keepNext w:val="0"/>
        <w:keepLines w:val="0"/>
        <w:pageBreakBefore w:val="0"/>
        <w:widowControl w:val="0"/>
        <w:tabs>
          <w:tab w:val="right" w:leader="dot" w:pos="8312"/>
        </w:tabs>
        <w:kinsoku/>
        <w:wordWrap/>
        <w:overflowPunct/>
        <w:topLinePunct w:val="0"/>
        <w:autoSpaceDE/>
        <w:autoSpaceDN/>
        <w:bidi w:val="0"/>
        <w:adjustRightInd/>
        <w:snapToGrid/>
        <w:spacing w:before="0" w:after="0" w:line="44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color w:val="auto"/>
          <w:sz w:val="24"/>
          <w:szCs w:val="24"/>
        </w:rPr>
        <w:instrText xml:space="preserve"> TOC \o "1-3" \h \z \u </w:instrText>
      </w:r>
      <w:r>
        <w:rPr>
          <w:rFonts w:hint="default" w:ascii="Times New Roman" w:hAnsi="Times New Roman" w:eastAsia="宋体" w:cs="Times New Roman"/>
          <w:color w:val="auto"/>
          <w:sz w:val="24"/>
          <w:szCs w:val="24"/>
        </w:rPr>
        <w:fldChar w:fldCharType="separate"/>
      </w:r>
      <w:r>
        <w:rPr>
          <w:rFonts w:hint="default" w:ascii="Times New Roman" w:hAnsi="Times New Roman" w:eastAsia="宋体" w:cs="Times New Roman"/>
          <w:color w:val="auto"/>
          <w:sz w:val="24"/>
          <w:szCs w:val="24"/>
        </w:rPr>
        <w:fldChar w:fldCharType="begin"/>
      </w:r>
      <w:r>
        <w:rPr>
          <w:rFonts w:hint="default" w:ascii="Times New Roman" w:hAnsi="Times New Roman" w:eastAsia="宋体" w:cs="Times New Roman"/>
          <w:sz w:val="24"/>
          <w:szCs w:val="24"/>
        </w:rPr>
        <w:instrText xml:space="preserve"> HYPERLINK \l _Toc13307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 工作简况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_Toc13307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color w:val="auto"/>
          <w:sz w:val="24"/>
          <w:szCs w:val="24"/>
        </w:rPr>
        <w:fldChar w:fldCharType="end"/>
      </w:r>
    </w:p>
    <w:p w14:paraId="7E98106E">
      <w:pPr>
        <w:pStyle w:val="74"/>
        <w:keepNext w:val="0"/>
        <w:keepLines w:val="0"/>
        <w:pageBreakBefore w:val="0"/>
        <w:widowControl w:val="0"/>
        <w:tabs>
          <w:tab w:val="right" w:leader="dot" w:pos="8312"/>
        </w:tabs>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auto"/>
          <w:sz w:val="24"/>
          <w:szCs w:val="24"/>
          <w:lang w:val="zh-CN"/>
        </w:rPr>
        <w:fldChar w:fldCharType="begin"/>
      </w:r>
      <w:r>
        <w:rPr>
          <w:rFonts w:hint="default" w:ascii="Times New Roman" w:hAnsi="Times New Roman" w:eastAsia="宋体" w:cs="Times New Roman"/>
          <w:bCs/>
          <w:sz w:val="24"/>
          <w:szCs w:val="24"/>
          <w:lang w:val="zh-CN"/>
        </w:rPr>
        <w:instrText xml:space="preserve"> HYPERLINK \l _Toc12908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1.1. 制定背景</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_Toc12908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auto"/>
          <w:sz w:val="24"/>
          <w:szCs w:val="24"/>
          <w:lang w:val="zh-CN"/>
        </w:rPr>
        <w:fldChar w:fldCharType="end"/>
      </w:r>
    </w:p>
    <w:p w14:paraId="77601BFA">
      <w:pPr>
        <w:pStyle w:val="74"/>
        <w:keepNext w:val="0"/>
        <w:keepLines w:val="0"/>
        <w:pageBreakBefore w:val="0"/>
        <w:widowControl w:val="0"/>
        <w:tabs>
          <w:tab w:val="right" w:leader="dot" w:pos="8312"/>
        </w:tabs>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auto"/>
          <w:sz w:val="24"/>
          <w:szCs w:val="24"/>
          <w:lang w:val="zh-CN"/>
        </w:rPr>
        <w:fldChar w:fldCharType="begin"/>
      </w:r>
      <w:r>
        <w:rPr>
          <w:rFonts w:hint="default" w:ascii="Times New Roman" w:hAnsi="Times New Roman" w:eastAsia="宋体" w:cs="Times New Roman"/>
          <w:bCs/>
          <w:sz w:val="24"/>
          <w:szCs w:val="24"/>
          <w:lang w:val="zh-CN"/>
        </w:rPr>
        <w:instrText xml:space="preserve"> HYPERLINK \l _Toc16540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1.2. 政策标准梳理</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_Toc16540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auto"/>
          <w:sz w:val="24"/>
          <w:szCs w:val="24"/>
          <w:lang w:val="zh-CN"/>
        </w:rPr>
        <w:fldChar w:fldCharType="end"/>
      </w:r>
    </w:p>
    <w:p w14:paraId="4A28A430">
      <w:pPr>
        <w:pStyle w:val="74"/>
        <w:keepNext w:val="0"/>
        <w:keepLines w:val="0"/>
        <w:pageBreakBefore w:val="0"/>
        <w:widowControl w:val="0"/>
        <w:tabs>
          <w:tab w:val="right" w:leader="dot" w:pos="8312"/>
        </w:tabs>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auto"/>
          <w:sz w:val="24"/>
          <w:szCs w:val="24"/>
          <w:lang w:val="zh-CN"/>
        </w:rPr>
        <w:fldChar w:fldCharType="begin"/>
      </w:r>
      <w:r>
        <w:rPr>
          <w:rFonts w:hint="default" w:ascii="Times New Roman" w:hAnsi="Times New Roman" w:eastAsia="宋体" w:cs="Times New Roman"/>
          <w:bCs/>
          <w:sz w:val="24"/>
          <w:szCs w:val="24"/>
          <w:lang w:val="zh-CN"/>
        </w:rPr>
        <w:instrText xml:space="preserve"> HYPERLINK \l _Toc5106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1.3. 任务来源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_Toc5106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auto"/>
          <w:sz w:val="24"/>
          <w:szCs w:val="24"/>
          <w:lang w:val="zh-CN"/>
        </w:rPr>
        <w:fldChar w:fldCharType="end"/>
      </w:r>
    </w:p>
    <w:p w14:paraId="1AEA65F0">
      <w:pPr>
        <w:pStyle w:val="74"/>
        <w:keepNext w:val="0"/>
        <w:keepLines w:val="0"/>
        <w:pageBreakBefore w:val="0"/>
        <w:widowControl w:val="0"/>
        <w:tabs>
          <w:tab w:val="right" w:leader="dot" w:pos="8312"/>
        </w:tabs>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auto"/>
          <w:sz w:val="24"/>
          <w:szCs w:val="24"/>
          <w:lang w:val="zh-CN"/>
        </w:rPr>
        <w:fldChar w:fldCharType="begin"/>
      </w:r>
      <w:r>
        <w:rPr>
          <w:rFonts w:hint="default" w:ascii="Times New Roman" w:hAnsi="Times New Roman" w:eastAsia="宋体" w:cs="Times New Roman"/>
          <w:bCs/>
          <w:sz w:val="24"/>
          <w:szCs w:val="24"/>
          <w:lang w:val="zh-CN"/>
        </w:rPr>
        <w:instrText xml:space="preserve"> HYPERLINK \l _Toc4338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1.4. 主要工作过程</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_Toc4338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6</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auto"/>
          <w:sz w:val="24"/>
          <w:szCs w:val="24"/>
          <w:lang w:val="zh-CN"/>
        </w:rPr>
        <w:fldChar w:fldCharType="end"/>
      </w:r>
    </w:p>
    <w:p w14:paraId="1293F339">
      <w:pPr>
        <w:pStyle w:val="74"/>
        <w:keepNext w:val="0"/>
        <w:keepLines w:val="0"/>
        <w:pageBreakBefore w:val="0"/>
        <w:widowControl w:val="0"/>
        <w:tabs>
          <w:tab w:val="right" w:leader="dot" w:pos="8312"/>
        </w:tabs>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auto"/>
          <w:sz w:val="24"/>
          <w:szCs w:val="24"/>
          <w:lang w:val="zh-CN"/>
        </w:rPr>
        <w:fldChar w:fldCharType="begin"/>
      </w:r>
      <w:r>
        <w:rPr>
          <w:rFonts w:hint="default" w:ascii="Times New Roman" w:hAnsi="Times New Roman" w:eastAsia="宋体" w:cs="Times New Roman"/>
          <w:bCs/>
          <w:sz w:val="24"/>
          <w:szCs w:val="24"/>
          <w:lang w:val="zh-CN"/>
        </w:rPr>
        <w:instrText xml:space="preserve"> HYPERLINK \l _Toc8920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kern w:val="2"/>
          <w:sz w:val="24"/>
          <w:szCs w:val="24"/>
        </w:rPr>
        <w:t xml:space="preserve">1.5. </w:t>
      </w:r>
      <w:r>
        <w:rPr>
          <w:rFonts w:hint="default" w:ascii="Times New Roman" w:hAnsi="Times New Roman" w:eastAsia="宋体" w:cs="Times New Roman"/>
          <w:sz w:val="24"/>
          <w:szCs w:val="24"/>
          <w:highlight w:val="none"/>
          <w:lang w:val="en-US" w:eastAsia="zh-CN"/>
        </w:rPr>
        <w:t>参加单位、人员及分工</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_Toc8920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auto"/>
          <w:sz w:val="24"/>
          <w:szCs w:val="24"/>
          <w:lang w:val="zh-CN"/>
        </w:rPr>
        <w:fldChar w:fldCharType="end"/>
      </w:r>
    </w:p>
    <w:p w14:paraId="5749286B">
      <w:pPr>
        <w:pStyle w:val="59"/>
        <w:keepNext w:val="0"/>
        <w:keepLines w:val="0"/>
        <w:pageBreakBefore w:val="0"/>
        <w:widowControl w:val="0"/>
        <w:tabs>
          <w:tab w:val="right" w:leader="dot" w:pos="8312"/>
        </w:tabs>
        <w:kinsoku/>
        <w:wordWrap/>
        <w:overflowPunct/>
        <w:topLinePunct w:val="0"/>
        <w:autoSpaceDE/>
        <w:autoSpaceDN/>
        <w:bidi w:val="0"/>
        <w:adjustRightInd/>
        <w:snapToGrid/>
        <w:spacing w:before="0" w:line="44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auto"/>
          <w:sz w:val="24"/>
          <w:szCs w:val="24"/>
          <w:lang w:val="zh-CN"/>
        </w:rPr>
        <w:fldChar w:fldCharType="begin"/>
      </w:r>
      <w:r>
        <w:rPr>
          <w:rFonts w:hint="default" w:ascii="Times New Roman" w:hAnsi="Times New Roman" w:eastAsia="宋体" w:cs="Times New Roman"/>
          <w:bCs/>
          <w:sz w:val="24"/>
          <w:szCs w:val="24"/>
          <w:lang w:val="zh-CN"/>
        </w:rPr>
        <w:instrText xml:space="preserve"> HYPERLINK \l _Toc18591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2. 标准编制原则和主要内容</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_Toc18591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auto"/>
          <w:sz w:val="24"/>
          <w:szCs w:val="24"/>
          <w:lang w:val="zh-CN"/>
        </w:rPr>
        <w:fldChar w:fldCharType="end"/>
      </w:r>
    </w:p>
    <w:p w14:paraId="5890F6EC">
      <w:pPr>
        <w:pStyle w:val="74"/>
        <w:keepNext w:val="0"/>
        <w:keepLines w:val="0"/>
        <w:pageBreakBefore w:val="0"/>
        <w:widowControl w:val="0"/>
        <w:tabs>
          <w:tab w:val="right" w:leader="dot" w:pos="8312"/>
        </w:tabs>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auto"/>
          <w:sz w:val="24"/>
          <w:szCs w:val="24"/>
          <w:lang w:val="zh-CN"/>
        </w:rPr>
        <w:fldChar w:fldCharType="begin"/>
      </w:r>
      <w:r>
        <w:rPr>
          <w:rFonts w:hint="default" w:ascii="Times New Roman" w:hAnsi="Times New Roman" w:eastAsia="宋体" w:cs="Times New Roman"/>
          <w:bCs/>
          <w:sz w:val="24"/>
          <w:szCs w:val="24"/>
          <w:lang w:val="zh-CN"/>
        </w:rPr>
        <w:instrText xml:space="preserve"> HYPERLINK \l _Toc8785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2.1. 标准编制原则</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_Toc8785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9</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auto"/>
          <w:sz w:val="24"/>
          <w:szCs w:val="24"/>
          <w:lang w:val="zh-CN"/>
        </w:rPr>
        <w:fldChar w:fldCharType="end"/>
      </w:r>
    </w:p>
    <w:p w14:paraId="6A52F475">
      <w:pPr>
        <w:pStyle w:val="74"/>
        <w:keepNext w:val="0"/>
        <w:keepLines w:val="0"/>
        <w:pageBreakBefore w:val="0"/>
        <w:widowControl w:val="0"/>
        <w:tabs>
          <w:tab w:val="right" w:leader="dot" w:pos="8312"/>
        </w:tabs>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auto"/>
          <w:sz w:val="24"/>
          <w:szCs w:val="24"/>
          <w:lang w:val="zh-CN"/>
        </w:rPr>
        <w:fldChar w:fldCharType="begin"/>
      </w:r>
      <w:r>
        <w:rPr>
          <w:rFonts w:hint="default" w:ascii="Times New Roman" w:hAnsi="Times New Roman" w:eastAsia="宋体" w:cs="Times New Roman"/>
          <w:bCs/>
          <w:sz w:val="24"/>
          <w:szCs w:val="24"/>
          <w:lang w:val="zh-CN"/>
        </w:rPr>
        <w:instrText xml:space="preserve"> HYPERLINK \l _Toc23513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2.2. 标准主要内容及依据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_Toc23513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auto"/>
          <w:sz w:val="24"/>
          <w:szCs w:val="24"/>
          <w:lang w:val="zh-CN"/>
        </w:rPr>
        <w:fldChar w:fldCharType="end"/>
      </w:r>
    </w:p>
    <w:p w14:paraId="07D62792">
      <w:pPr>
        <w:pStyle w:val="59"/>
        <w:keepNext w:val="0"/>
        <w:keepLines w:val="0"/>
        <w:pageBreakBefore w:val="0"/>
        <w:widowControl w:val="0"/>
        <w:tabs>
          <w:tab w:val="right" w:leader="dot" w:pos="8312"/>
        </w:tabs>
        <w:kinsoku/>
        <w:wordWrap/>
        <w:overflowPunct/>
        <w:topLinePunct w:val="0"/>
        <w:autoSpaceDE/>
        <w:autoSpaceDN/>
        <w:bidi w:val="0"/>
        <w:adjustRightInd/>
        <w:snapToGrid/>
        <w:spacing w:before="0" w:line="44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auto"/>
          <w:sz w:val="24"/>
          <w:szCs w:val="24"/>
          <w:lang w:val="zh-CN"/>
        </w:rPr>
        <w:fldChar w:fldCharType="begin"/>
      </w:r>
      <w:r>
        <w:rPr>
          <w:rFonts w:hint="default" w:ascii="Times New Roman" w:hAnsi="Times New Roman" w:eastAsia="宋体" w:cs="Times New Roman"/>
          <w:bCs/>
          <w:sz w:val="24"/>
          <w:szCs w:val="24"/>
          <w:lang w:val="zh-CN"/>
        </w:rPr>
        <w:instrText xml:space="preserve"> HYPERLINK \l _Toc9304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3. 采用国际、国外先进标准的程度，以及与国际、国外同类标准水平的对比情况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_Toc9304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auto"/>
          <w:sz w:val="24"/>
          <w:szCs w:val="24"/>
          <w:lang w:val="zh-CN"/>
        </w:rPr>
        <w:fldChar w:fldCharType="end"/>
      </w:r>
    </w:p>
    <w:p w14:paraId="13533A0F">
      <w:pPr>
        <w:pStyle w:val="74"/>
        <w:keepNext w:val="0"/>
        <w:keepLines w:val="0"/>
        <w:pageBreakBefore w:val="0"/>
        <w:widowControl w:val="0"/>
        <w:tabs>
          <w:tab w:val="right" w:leader="dot" w:pos="8312"/>
        </w:tabs>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auto"/>
          <w:sz w:val="24"/>
          <w:szCs w:val="24"/>
          <w:lang w:val="zh-CN"/>
        </w:rPr>
        <w:fldChar w:fldCharType="begin"/>
      </w:r>
      <w:r>
        <w:rPr>
          <w:rFonts w:hint="default" w:ascii="Times New Roman" w:hAnsi="Times New Roman" w:eastAsia="宋体" w:cs="Times New Roman"/>
          <w:bCs/>
          <w:sz w:val="24"/>
          <w:szCs w:val="24"/>
          <w:lang w:val="zh-CN"/>
        </w:rPr>
        <w:instrText xml:space="preserve"> HYPERLINK \l _Toc20678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3.1. 国内的污水处理</w:t>
      </w:r>
      <w:r>
        <w:rPr>
          <w:rFonts w:hint="default" w:ascii="Times New Roman" w:hAnsi="Times New Roman" w:eastAsia="宋体" w:cs="Times New Roman"/>
          <w:sz w:val="24"/>
          <w:szCs w:val="24"/>
          <w:lang w:val="en-US" w:eastAsia="zh-CN"/>
        </w:rPr>
        <w:t>温室气体</w:t>
      </w:r>
      <w:r>
        <w:rPr>
          <w:rFonts w:hint="default" w:ascii="Times New Roman" w:hAnsi="Times New Roman" w:eastAsia="宋体" w:cs="Times New Roman"/>
          <w:sz w:val="24"/>
          <w:szCs w:val="24"/>
        </w:rPr>
        <w:t>核算相关标准的工作进展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_Toc20678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auto"/>
          <w:sz w:val="24"/>
          <w:szCs w:val="24"/>
          <w:lang w:val="zh-CN"/>
        </w:rPr>
        <w:fldChar w:fldCharType="end"/>
      </w:r>
    </w:p>
    <w:p w14:paraId="48B7E265">
      <w:pPr>
        <w:pStyle w:val="74"/>
        <w:keepNext w:val="0"/>
        <w:keepLines w:val="0"/>
        <w:pageBreakBefore w:val="0"/>
        <w:widowControl w:val="0"/>
        <w:tabs>
          <w:tab w:val="right" w:leader="dot" w:pos="8312"/>
        </w:tabs>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auto"/>
          <w:sz w:val="24"/>
          <w:szCs w:val="24"/>
          <w:lang w:val="zh-CN"/>
        </w:rPr>
        <w:fldChar w:fldCharType="begin"/>
      </w:r>
      <w:r>
        <w:rPr>
          <w:rFonts w:hint="default" w:ascii="Times New Roman" w:hAnsi="Times New Roman" w:eastAsia="宋体" w:cs="Times New Roman"/>
          <w:bCs/>
          <w:sz w:val="24"/>
          <w:szCs w:val="24"/>
          <w:lang w:val="zh-CN"/>
        </w:rPr>
        <w:instrText xml:space="preserve"> HYPERLINK \l _Toc18991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3.2. 国际污水处理</w:t>
      </w:r>
      <w:r>
        <w:rPr>
          <w:rFonts w:hint="default" w:ascii="Times New Roman" w:hAnsi="Times New Roman" w:eastAsia="宋体" w:cs="Times New Roman"/>
          <w:sz w:val="24"/>
          <w:szCs w:val="24"/>
          <w:lang w:val="en-US" w:eastAsia="zh-CN"/>
        </w:rPr>
        <w:t>温室气体</w:t>
      </w:r>
      <w:r>
        <w:rPr>
          <w:rFonts w:hint="default" w:ascii="Times New Roman" w:hAnsi="Times New Roman" w:eastAsia="宋体" w:cs="Times New Roman"/>
          <w:sz w:val="24"/>
          <w:szCs w:val="24"/>
        </w:rPr>
        <w:t>核算相关标准的工作进展</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_Toc18991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17</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auto"/>
          <w:sz w:val="24"/>
          <w:szCs w:val="24"/>
          <w:lang w:val="zh-CN"/>
        </w:rPr>
        <w:fldChar w:fldCharType="end"/>
      </w:r>
    </w:p>
    <w:p w14:paraId="7ED17978">
      <w:pPr>
        <w:pStyle w:val="59"/>
        <w:keepNext w:val="0"/>
        <w:keepLines w:val="0"/>
        <w:pageBreakBefore w:val="0"/>
        <w:widowControl w:val="0"/>
        <w:tabs>
          <w:tab w:val="right" w:leader="dot" w:pos="8312"/>
        </w:tabs>
        <w:kinsoku/>
        <w:wordWrap/>
        <w:overflowPunct/>
        <w:topLinePunct w:val="0"/>
        <w:autoSpaceDE/>
        <w:autoSpaceDN/>
        <w:bidi w:val="0"/>
        <w:adjustRightInd/>
        <w:snapToGrid/>
        <w:spacing w:before="0" w:line="44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auto"/>
          <w:sz w:val="24"/>
          <w:szCs w:val="24"/>
          <w:lang w:val="zh-CN"/>
        </w:rPr>
        <w:fldChar w:fldCharType="begin"/>
      </w:r>
      <w:r>
        <w:rPr>
          <w:rFonts w:hint="default" w:ascii="Times New Roman" w:hAnsi="Times New Roman" w:eastAsia="宋体" w:cs="Times New Roman"/>
          <w:bCs/>
          <w:sz w:val="24"/>
          <w:szCs w:val="24"/>
          <w:lang w:val="zh-CN"/>
        </w:rPr>
        <w:instrText xml:space="preserve"> HYPERLINK \l _Toc28809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lang w:eastAsia="zh"/>
          <w:woUserID w:val="1"/>
        </w:rPr>
        <w:t>4. 主要的验证</w:t>
      </w:r>
      <w:r>
        <w:rPr>
          <w:rFonts w:hint="default" w:ascii="Times New Roman" w:hAnsi="Times New Roman" w:eastAsia="宋体" w:cs="Times New Roman"/>
          <w:sz w:val="24"/>
          <w:szCs w:val="24"/>
          <w:lang w:eastAsia="zh-CN"/>
          <w:woUserID w:val="1"/>
        </w:rPr>
        <w:t>（</w:t>
      </w:r>
      <w:r>
        <w:rPr>
          <w:rFonts w:hint="default" w:ascii="Times New Roman" w:hAnsi="Times New Roman" w:eastAsia="宋体" w:cs="Times New Roman"/>
          <w:sz w:val="24"/>
          <w:szCs w:val="24"/>
          <w:lang w:val="en-US" w:eastAsia="zh-CN"/>
          <w:woUserID w:val="1"/>
        </w:rPr>
        <w:t>测试</w:t>
      </w:r>
      <w:r>
        <w:rPr>
          <w:rFonts w:hint="default" w:ascii="Times New Roman" w:hAnsi="Times New Roman" w:eastAsia="宋体" w:cs="Times New Roman"/>
          <w:sz w:val="24"/>
          <w:szCs w:val="24"/>
          <w:lang w:eastAsia="zh-CN"/>
          <w:woUserID w:val="1"/>
        </w:rPr>
        <w:t>）</w:t>
      </w:r>
      <w:r>
        <w:rPr>
          <w:rFonts w:hint="default" w:ascii="Times New Roman" w:hAnsi="Times New Roman" w:eastAsia="宋体" w:cs="Times New Roman"/>
          <w:sz w:val="24"/>
          <w:szCs w:val="24"/>
          <w:lang w:eastAsia="zh"/>
          <w:woUserID w:val="1"/>
        </w:rPr>
        <w:t>情况</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_Toc28809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auto"/>
          <w:sz w:val="24"/>
          <w:szCs w:val="24"/>
          <w:lang w:val="zh-CN"/>
        </w:rPr>
        <w:fldChar w:fldCharType="end"/>
      </w:r>
    </w:p>
    <w:p w14:paraId="1E05C1A1">
      <w:pPr>
        <w:pStyle w:val="59"/>
        <w:keepNext w:val="0"/>
        <w:keepLines w:val="0"/>
        <w:pageBreakBefore w:val="0"/>
        <w:widowControl w:val="0"/>
        <w:tabs>
          <w:tab w:val="right" w:leader="dot" w:pos="8312"/>
        </w:tabs>
        <w:kinsoku/>
        <w:wordWrap/>
        <w:overflowPunct/>
        <w:topLinePunct w:val="0"/>
        <w:autoSpaceDE/>
        <w:autoSpaceDN/>
        <w:bidi w:val="0"/>
        <w:adjustRightInd/>
        <w:snapToGrid/>
        <w:spacing w:before="0" w:line="44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auto"/>
          <w:sz w:val="24"/>
          <w:szCs w:val="24"/>
          <w:lang w:val="zh-CN"/>
        </w:rPr>
        <w:fldChar w:fldCharType="begin"/>
      </w:r>
      <w:r>
        <w:rPr>
          <w:rFonts w:hint="default" w:ascii="Times New Roman" w:hAnsi="Times New Roman" w:eastAsia="宋体" w:cs="Times New Roman"/>
          <w:bCs/>
          <w:sz w:val="24"/>
          <w:szCs w:val="24"/>
          <w:lang w:val="zh-CN"/>
        </w:rPr>
        <w:instrText xml:space="preserve"> HYPERLINK \l _Toc22958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5. 与有关的现行法律、法规和强制性国家标准的关系</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_Toc22958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auto"/>
          <w:sz w:val="24"/>
          <w:szCs w:val="24"/>
          <w:lang w:val="zh-CN"/>
        </w:rPr>
        <w:fldChar w:fldCharType="end"/>
      </w:r>
    </w:p>
    <w:p w14:paraId="1BAC4A86">
      <w:pPr>
        <w:pStyle w:val="59"/>
        <w:keepNext w:val="0"/>
        <w:keepLines w:val="0"/>
        <w:pageBreakBefore w:val="0"/>
        <w:widowControl w:val="0"/>
        <w:tabs>
          <w:tab w:val="right" w:leader="dot" w:pos="8312"/>
        </w:tabs>
        <w:kinsoku/>
        <w:wordWrap/>
        <w:overflowPunct/>
        <w:topLinePunct w:val="0"/>
        <w:autoSpaceDE/>
        <w:autoSpaceDN/>
        <w:bidi w:val="0"/>
        <w:adjustRightInd/>
        <w:snapToGrid/>
        <w:spacing w:before="0" w:line="44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auto"/>
          <w:sz w:val="24"/>
          <w:szCs w:val="24"/>
          <w:lang w:val="zh-CN"/>
        </w:rPr>
        <w:fldChar w:fldCharType="begin"/>
      </w:r>
      <w:r>
        <w:rPr>
          <w:rFonts w:hint="default" w:ascii="Times New Roman" w:hAnsi="Times New Roman" w:eastAsia="宋体" w:cs="Times New Roman"/>
          <w:bCs/>
          <w:sz w:val="24"/>
          <w:szCs w:val="24"/>
          <w:lang w:val="zh-CN"/>
        </w:rPr>
        <w:instrText xml:space="preserve"> HYPERLINK \l _Toc3540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6. 重大分歧意见的处理经过和依据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_Toc3540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23</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auto"/>
          <w:sz w:val="24"/>
          <w:szCs w:val="24"/>
          <w:lang w:val="zh-CN"/>
        </w:rPr>
        <w:fldChar w:fldCharType="end"/>
      </w:r>
    </w:p>
    <w:p w14:paraId="5C21387E">
      <w:pPr>
        <w:pStyle w:val="59"/>
        <w:keepNext w:val="0"/>
        <w:keepLines w:val="0"/>
        <w:pageBreakBefore w:val="0"/>
        <w:widowControl w:val="0"/>
        <w:tabs>
          <w:tab w:val="right" w:leader="dot" w:pos="8312"/>
        </w:tabs>
        <w:kinsoku/>
        <w:wordWrap/>
        <w:overflowPunct/>
        <w:topLinePunct w:val="0"/>
        <w:autoSpaceDE/>
        <w:autoSpaceDN/>
        <w:bidi w:val="0"/>
        <w:adjustRightInd/>
        <w:snapToGrid/>
        <w:spacing w:before="0" w:line="44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auto"/>
          <w:sz w:val="24"/>
          <w:szCs w:val="24"/>
          <w:lang w:val="zh-CN"/>
        </w:rPr>
        <w:fldChar w:fldCharType="begin"/>
      </w:r>
      <w:r>
        <w:rPr>
          <w:rFonts w:hint="default" w:ascii="Times New Roman" w:hAnsi="Times New Roman" w:eastAsia="宋体" w:cs="Times New Roman"/>
          <w:bCs/>
          <w:sz w:val="24"/>
          <w:szCs w:val="24"/>
          <w:lang w:val="zh-CN"/>
        </w:rPr>
        <w:instrText xml:space="preserve"> HYPERLINK \l _Toc22032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7. 国家标准作为强制性国家标准或推荐性国家标准的建议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_Toc22032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auto"/>
          <w:sz w:val="24"/>
          <w:szCs w:val="24"/>
          <w:lang w:val="zh-CN"/>
        </w:rPr>
        <w:fldChar w:fldCharType="end"/>
      </w:r>
    </w:p>
    <w:p w14:paraId="62652D7E">
      <w:pPr>
        <w:pStyle w:val="59"/>
        <w:keepNext w:val="0"/>
        <w:keepLines w:val="0"/>
        <w:pageBreakBefore w:val="0"/>
        <w:widowControl w:val="0"/>
        <w:tabs>
          <w:tab w:val="right" w:leader="dot" w:pos="8312"/>
        </w:tabs>
        <w:kinsoku/>
        <w:wordWrap/>
        <w:overflowPunct/>
        <w:topLinePunct w:val="0"/>
        <w:autoSpaceDE/>
        <w:autoSpaceDN/>
        <w:bidi w:val="0"/>
        <w:adjustRightInd/>
        <w:snapToGrid/>
        <w:spacing w:before="0" w:line="44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auto"/>
          <w:sz w:val="24"/>
          <w:szCs w:val="24"/>
          <w:lang w:val="zh-CN"/>
        </w:rPr>
        <w:fldChar w:fldCharType="begin"/>
      </w:r>
      <w:r>
        <w:rPr>
          <w:rFonts w:hint="default" w:ascii="Times New Roman" w:hAnsi="Times New Roman" w:eastAsia="宋体" w:cs="Times New Roman"/>
          <w:bCs/>
          <w:sz w:val="24"/>
          <w:szCs w:val="24"/>
          <w:lang w:val="zh-CN"/>
        </w:rPr>
        <w:instrText xml:space="preserve"> HYPERLINK \l _Toc29956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8. 贯彻国家标准的要求和措施建议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_Toc29956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auto"/>
          <w:sz w:val="24"/>
          <w:szCs w:val="24"/>
          <w:lang w:val="zh-CN"/>
        </w:rPr>
        <w:fldChar w:fldCharType="end"/>
      </w:r>
    </w:p>
    <w:p w14:paraId="3936E03B">
      <w:pPr>
        <w:pStyle w:val="59"/>
        <w:keepNext w:val="0"/>
        <w:keepLines w:val="0"/>
        <w:pageBreakBefore w:val="0"/>
        <w:widowControl w:val="0"/>
        <w:tabs>
          <w:tab w:val="right" w:leader="dot" w:pos="8312"/>
        </w:tabs>
        <w:kinsoku/>
        <w:wordWrap/>
        <w:overflowPunct/>
        <w:topLinePunct w:val="0"/>
        <w:autoSpaceDE/>
        <w:autoSpaceDN/>
        <w:bidi w:val="0"/>
        <w:adjustRightInd/>
        <w:snapToGrid/>
        <w:spacing w:before="0" w:line="44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auto"/>
          <w:sz w:val="24"/>
          <w:szCs w:val="24"/>
          <w:lang w:val="zh-CN"/>
        </w:rPr>
        <w:fldChar w:fldCharType="begin"/>
      </w:r>
      <w:r>
        <w:rPr>
          <w:rFonts w:hint="default" w:ascii="Times New Roman" w:hAnsi="Times New Roman" w:eastAsia="宋体" w:cs="Times New Roman"/>
          <w:bCs/>
          <w:sz w:val="24"/>
          <w:szCs w:val="24"/>
          <w:lang w:val="zh-CN"/>
        </w:rPr>
        <w:instrText xml:space="preserve"> HYPERLINK \l _Toc33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9. 废止现行有关标准的建议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_Toc33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auto"/>
          <w:sz w:val="24"/>
          <w:szCs w:val="24"/>
          <w:lang w:val="zh-CN"/>
        </w:rPr>
        <w:fldChar w:fldCharType="end"/>
      </w:r>
    </w:p>
    <w:p w14:paraId="6B0AC678">
      <w:pPr>
        <w:pStyle w:val="59"/>
        <w:keepNext w:val="0"/>
        <w:keepLines w:val="0"/>
        <w:pageBreakBefore w:val="0"/>
        <w:widowControl w:val="0"/>
        <w:tabs>
          <w:tab w:val="right" w:leader="dot" w:pos="8312"/>
        </w:tabs>
        <w:kinsoku/>
        <w:wordWrap/>
        <w:overflowPunct/>
        <w:topLinePunct w:val="0"/>
        <w:autoSpaceDE/>
        <w:autoSpaceDN/>
        <w:bidi w:val="0"/>
        <w:adjustRightInd/>
        <w:snapToGrid/>
        <w:spacing w:before="0" w:line="44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auto"/>
          <w:sz w:val="24"/>
          <w:szCs w:val="24"/>
          <w:lang w:val="zh-CN"/>
        </w:rPr>
        <w:fldChar w:fldCharType="begin"/>
      </w:r>
      <w:r>
        <w:rPr>
          <w:rFonts w:hint="default" w:ascii="Times New Roman" w:hAnsi="Times New Roman" w:eastAsia="宋体" w:cs="Times New Roman"/>
          <w:bCs/>
          <w:sz w:val="24"/>
          <w:szCs w:val="24"/>
          <w:lang w:val="zh-CN"/>
        </w:rPr>
        <w:instrText xml:space="preserve"> HYPERLINK \l _Toc31242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10. 其他应予说明的事项</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_Toc31242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24</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auto"/>
          <w:sz w:val="24"/>
          <w:szCs w:val="24"/>
          <w:lang w:val="zh-CN"/>
        </w:rPr>
        <w:fldChar w:fldCharType="end"/>
      </w:r>
    </w:p>
    <w:p w14:paraId="0A9BD8DC">
      <w:pPr>
        <w:pStyle w:val="59"/>
        <w:keepNext w:val="0"/>
        <w:keepLines w:val="0"/>
        <w:pageBreakBefore w:val="0"/>
        <w:widowControl w:val="0"/>
        <w:tabs>
          <w:tab w:val="right" w:leader="dot" w:pos="8312"/>
        </w:tabs>
        <w:kinsoku/>
        <w:wordWrap/>
        <w:overflowPunct/>
        <w:topLinePunct w:val="0"/>
        <w:autoSpaceDE/>
        <w:autoSpaceDN/>
        <w:bidi w:val="0"/>
        <w:adjustRightInd/>
        <w:snapToGrid/>
        <w:spacing w:before="0" w:line="44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auto"/>
          <w:sz w:val="24"/>
          <w:szCs w:val="24"/>
          <w:lang w:val="zh-CN"/>
        </w:rPr>
        <w:fldChar w:fldCharType="begin"/>
      </w:r>
      <w:r>
        <w:rPr>
          <w:rFonts w:hint="default" w:ascii="Times New Roman" w:hAnsi="Times New Roman" w:eastAsia="宋体" w:cs="Times New Roman"/>
          <w:bCs/>
          <w:sz w:val="24"/>
          <w:szCs w:val="24"/>
          <w:lang w:val="zh-CN"/>
        </w:rPr>
        <w:instrText xml:space="preserve"> HYPERLINK \l _Toc259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bCs w:val="0"/>
          <w:sz w:val="24"/>
          <w:szCs w:val="24"/>
        </w:rPr>
        <w:t>附录</w:t>
      </w:r>
      <w:r>
        <w:rPr>
          <w:rFonts w:hint="default" w:ascii="Times New Roman" w:hAnsi="Times New Roman" w:eastAsia="宋体" w:cs="Times New Roman"/>
          <w:bCs w:val="0"/>
          <w:sz w:val="24"/>
          <w:szCs w:val="24"/>
          <w:lang w:val="en-US" w:eastAsia="zh-CN"/>
        </w:rPr>
        <w:t xml:space="preserve">A </w:t>
      </w:r>
      <w:r>
        <w:rPr>
          <w:rFonts w:hint="default" w:ascii="Times New Roman" w:hAnsi="Times New Roman" w:eastAsia="宋体" w:cs="Times New Roman"/>
          <w:sz w:val="24"/>
          <w:szCs w:val="24"/>
        </w:rPr>
        <w:t>温室气体排放因子及编制说明</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_Toc259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auto"/>
          <w:sz w:val="24"/>
          <w:szCs w:val="24"/>
          <w:lang w:val="zh-CN"/>
        </w:rPr>
        <w:fldChar w:fldCharType="end"/>
      </w:r>
    </w:p>
    <w:p w14:paraId="208BEC0E">
      <w:pPr>
        <w:pStyle w:val="74"/>
        <w:keepNext w:val="0"/>
        <w:keepLines w:val="0"/>
        <w:pageBreakBefore w:val="0"/>
        <w:widowControl w:val="0"/>
        <w:tabs>
          <w:tab w:val="right" w:leader="dot" w:pos="8312"/>
        </w:tabs>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auto"/>
          <w:sz w:val="24"/>
          <w:szCs w:val="24"/>
          <w:lang w:val="zh-CN"/>
        </w:rPr>
        <w:fldChar w:fldCharType="begin"/>
      </w:r>
      <w:r>
        <w:rPr>
          <w:rFonts w:hint="default" w:ascii="Times New Roman" w:hAnsi="Times New Roman" w:eastAsia="宋体" w:cs="Times New Roman"/>
          <w:bCs/>
          <w:sz w:val="24"/>
          <w:szCs w:val="24"/>
          <w:lang w:val="zh-CN"/>
        </w:rPr>
        <w:instrText xml:space="preserve"> HYPERLINK \l _Toc23515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A.1污水处理过程直接排放因子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_Toc23515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25</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auto"/>
          <w:sz w:val="24"/>
          <w:szCs w:val="24"/>
          <w:lang w:val="zh-CN"/>
        </w:rPr>
        <w:fldChar w:fldCharType="end"/>
      </w:r>
    </w:p>
    <w:p w14:paraId="6D08AA21">
      <w:pPr>
        <w:pStyle w:val="74"/>
        <w:keepNext w:val="0"/>
        <w:keepLines w:val="0"/>
        <w:pageBreakBefore w:val="0"/>
        <w:widowControl w:val="0"/>
        <w:tabs>
          <w:tab w:val="right" w:pos="3200"/>
          <w:tab w:val="right" w:leader="dot" w:pos="8312"/>
        </w:tabs>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auto"/>
          <w:sz w:val="24"/>
          <w:szCs w:val="24"/>
          <w:lang w:val="zh-CN"/>
        </w:rPr>
        <w:fldChar w:fldCharType="begin"/>
      </w:r>
      <w:r>
        <w:rPr>
          <w:rFonts w:hint="default" w:ascii="Times New Roman" w:hAnsi="Times New Roman" w:eastAsia="宋体" w:cs="Times New Roman"/>
          <w:bCs/>
          <w:sz w:val="24"/>
          <w:szCs w:val="24"/>
          <w:lang w:val="zh-CN"/>
        </w:rPr>
        <w:instrText xml:space="preserve"> HYPERLINK \l _Toc8184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A.2</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污泥处理过程直接排放因子</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_Toc8184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28</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auto"/>
          <w:sz w:val="24"/>
          <w:szCs w:val="24"/>
          <w:lang w:val="zh-CN"/>
        </w:rPr>
        <w:fldChar w:fldCharType="end"/>
      </w:r>
    </w:p>
    <w:p w14:paraId="726DB7A4">
      <w:pPr>
        <w:pStyle w:val="74"/>
        <w:keepNext w:val="0"/>
        <w:keepLines w:val="0"/>
        <w:pageBreakBefore w:val="0"/>
        <w:widowControl w:val="0"/>
        <w:tabs>
          <w:tab w:val="right" w:pos="3200"/>
          <w:tab w:val="right" w:leader="dot" w:pos="8312"/>
        </w:tabs>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auto"/>
          <w:sz w:val="24"/>
          <w:szCs w:val="24"/>
          <w:lang w:val="zh-CN"/>
        </w:rPr>
        <w:fldChar w:fldCharType="begin"/>
      </w:r>
      <w:r>
        <w:rPr>
          <w:rFonts w:hint="default" w:ascii="Times New Roman" w:hAnsi="Times New Roman" w:eastAsia="宋体" w:cs="Times New Roman"/>
          <w:bCs/>
          <w:sz w:val="24"/>
          <w:szCs w:val="24"/>
          <w:lang w:val="zh-CN"/>
        </w:rPr>
        <w:instrText xml:space="preserve"> HYPERLINK \l _Toc26151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A.3</w:t>
      </w:r>
      <w:r>
        <w:rPr>
          <w:rFonts w:hint="default" w:ascii="Times New Roman" w:hAnsi="Times New Roman" w:eastAsia="宋体" w:cs="Times New Roman"/>
          <w:sz w:val="24"/>
          <w:szCs w:val="24"/>
          <w:lang w:val="en-US" w:eastAsia="zh-CN"/>
        </w:rPr>
        <w:t xml:space="preserve"> </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t>药剂使用过程间接排放因子的确定</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_Toc26151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30</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auto"/>
          <w:sz w:val="24"/>
          <w:szCs w:val="24"/>
          <w:lang w:val="zh-CN"/>
        </w:rPr>
        <w:fldChar w:fldCharType="end"/>
      </w:r>
    </w:p>
    <w:p w14:paraId="00145DA3">
      <w:pPr>
        <w:pStyle w:val="59"/>
        <w:keepNext w:val="0"/>
        <w:keepLines w:val="0"/>
        <w:pageBreakBefore w:val="0"/>
        <w:widowControl w:val="0"/>
        <w:tabs>
          <w:tab w:val="right" w:leader="dot" w:pos="8312"/>
        </w:tabs>
        <w:kinsoku/>
        <w:wordWrap/>
        <w:overflowPunct/>
        <w:topLinePunct w:val="0"/>
        <w:autoSpaceDE/>
        <w:autoSpaceDN/>
        <w:bidi w:val="0"/>
        <w:adjustRightInd/>
        <w:snapToGrid/>
        <w:spacing w:before="0" w:line="440" w:lineRule="exact"/>
        <w:textAlignment w:val="auto"/>
        <w:rPr>
          <w:rFonts w:hint="default" w:ascii="Times New Roman" w:hAnsi="Times New Roman" w:eastAsia="宋体" w:cs="Times New Roman"/>
          <w:sz w:val="24"/>
          <w:szCs w:val="24"/>
        </w:rPr>
      </w:pPr>
      <w:r>
        <w:rPr>
          <w:rFonts w:hint="default" w:ascii="Times New Roman" w:hAnsi="Times New Roman" w:eastAsia="宋体" w:cs="Times New Roman"/>
          <w:bCs/>
          <w:color w:val="auto"/>
          <w:sz w:val="24"/>
          <w:szCs w:val="24"/>
          <w:lang w:val="zh-CN"/>
        </w:rPr>
        <w:fldChar w:fldCharType="begin"/>
      </w:r>
      <w:r>
        <w:rPr>
          <w:rFonts w:hint="default" w:ascii="Times New Roman" w:hAnsi="Times New Roman" w:eastAsia="宋体" w:cs="Times New Roman"/>
          <w:bCs/>
          <w:sz w:val="24"/>
          <w:szCs w:val="24"/>
          <w:lang w:val="zh-CN"/>
        </w:rPr>
        <w:instrText xml:space="preserve"> HYPERLINK \l _Toc16314 </w:instrText>
      </w:r>
      <w:r>
        <w:rPr>
          <w:rFonts w:hint="default" w:ascii="Times New Roman" w:hAnsi="Times New Roman" w:eastAsia="宋体" w:cs="Times New Roman"/>
          <w:bCs/>
          <w:sz w:val="24"/>
          <w:szCs w:val="24"/>
          <w:lang w:val="zh-CN"/>
        </w:rPr>
        <w:fldChar w:fldCharType="separate"/>
      </w:r>
      <w:r>
        <w:rPr>
          <w:rFonts w:hint="default" w:ascii="Times New Roman" w:hAnsi="Times New Roman" w:eastAsia="宋体" w:cs="Times New Roman"/>
          <w:sz w:val="24"/>
          <w:szCs w:val="24"/>
        </w:rPr>
        <w:t>参考文献</w:t>
      </w:r>
      <w:r>
        <w:rPr>
          <w:rFonts w:hint="default" w:ascii="Times New Roman" w:hAnsi="Times New Roman" w:eastAsia="宋体" w:cs="Times New Roman"/>
          <w:sz w:val="24"/>
          <w:szCs w:val="24"/>
        </w:rPr>
        <w:tab/>
      </w:r>
      <w:r>
        <w:rPr>
          <w:rFonts w:hint="default" w:ascii="Times New Roman" w:hAnsi="Times New Roman" w:eastAsia="宋体" w:cs="Times New Roman"/>
          <w:sz w:val="24"/>
          <w:szCs w:val="24"/>
        </w:rPr>
        <w:fldChar w:fldCharType="begin"/>
      </w:r>
      <w:r>
        <w:rPr>
          <w:rFonts w:hint="default" w:ascii="Times New Roman" w:hAnsi="Times New Roman" w:eastAsia="宋体" w:cs="Times New Roman"/>
          <w:sz w:val="24"/>
          <w:szCs w:val="24"/>
        </w:rPr>
        <w:instrText xml:space="preserve"> PAGEREF _Toc16314 \h </w:instrText>
      </w:r>
      <w:r>
        <w:rPr>
          <w:rFonts w:hint="default" w:ascii="Times New Roman" w:hAnsi="Times New Roman" w:eastAsia="宋体" w:cs="Times New Roman"/>
          <w:sz w:val="24"/>
          <w:szCs w:val="24"/>
        </w:rPr>
        <w:fldChar w:fldCharType="separate"/>
      </w:r>
      <w:r>
        <w:rPr>
          <w:rFonts w:hint="default" w:ascii="Times New Roman" w:hAnsi="Times New Roman" w:eastAsia="宋体" w:cs="Times New Roman"/>
          <w:sz w:val="24"/>
          <w:szCs w:val="24"/>
        </w:rPr>
        <w:t>32</w:t>
      </w:r>
      <w:r>
        <w:rPr>
          <w:rFonts w:hint="default" w:ascii="Times New Roman" w:hAnsi="Times New Roman" w:eastAsia="宋体" w:cs="Times New Roman"/>
          <w:sz w:val="24"/>
          <w:szCs w:val="24"/>
        </w:rPr>
        <w:fldChar w:fldCharType="end"/>
      </w:r>
      <w:r>
        <w:rPr>
          <w:rFonts w:hint="default" w:ascii="Times New Roman" w:hAnsi="Times New Roman" w:eastAsia="宋体" w:cs="Times New Roman"/>
          <w:bCs/>
          <w:color w:val="auto"/>
          <w:sz w:val="24"/>
          <w:szCs w:val="24"/>
          <w:lang w:val="zh-CN"/>
        </w:rPr>
        <w:fldChar w:fldCharType="end"/>
      </w:r>
    </w:p>
    <w:p w14:paraId="569C7AAF">
      <w:pPr>
        <w:keepNext w:val="0"/>
        <w:keepLines w:val="0"/>
        <w:pageBreakBefore w:val="0"/>
        <w:widowControl w:val="0"/>
        <w:kinsoku/>
        <w:wordWrap/>
        <w:overflowPunct/>
        <w:topLinePunct w:val="0"/>
        <w:autoSpaceDE/>
        <w:autoSpaceDN/>
        <w:bidi w:val="0"/>
        <w:adjustRightInd/>
        <w:snapToGrid/>
        <w:spacing w:line="440" w:lineRule="exact"/>
        <w:textAlignment w:val="auto"/>
        <w:rPr>
          <w:rFonts w:hint="default" w:ascii="Times New Roman" w:hAnsi="Times New Roman" w:eastAsia="宋体" w:cs="Times New Roman"/>
          <w:color w:val="auto"/>
          <w:sz w:val="24"/>
          <w:szCs w:val="24"/>
        </w:rPr>
        <w:sectPr>
          <w:pgSz w:w="11906" w:h="16838"/>
          <w:pgMar w:top="1440" w:right="1797" w:bottom="1440" w:left="1797" w:header="851" w:footer="992" w:gutter="0"/>
          <w:pgBorders>
            <w:top w:val="none" w:sz="0" w:space="0"/>
            <w:left w:val="none" w:sz="0" w:space="0"/>
            <w:bottom w:val="none" w:sz="0" w:space="0"/>
            <w:right w:val="none" w:sz="0" w:space="0"/>
          </w:pgBorders>
          <w:pgNumType w:fmt="decimal" w:start="1"/>
          <w:cols w:space="425" w:num="1"/>
          <w:docGrid w:type="lines" w:linePitch="312" w:charSpace="0"/>
        </w:sectPr>
      </w:pPr>
      <w:r>
        <w:rPr>
          <w:rFonts w:hint="default" w:ascii="Times New Roman" w:hAnsi="Times New Roman" w:eastAsia="宋体" w:cs="Times New Roman"/>
          <w:bCs/>
          <w:color w:val="auto"/>
          <w:sz w:val="24"/>
          <w:szCs w:val="24"/>
          <w:lang w:val="zh-CN"/>
        </w:rPr>
        <w:fldChar w:fldCharType="end"/>
      </w:r>
    </w:p>
    <w:bookmarkEnd w:id="0"/>
    <w:bookmarkEnd w:id="1"/>
    <w:bookmarkEnd w:id="2"/>
    <w:bookmarkEnd w:id="3"/>
    <w:bookmarkEnd w:id="4"/>
    <w:bookmarkEnd w:id="5"/>
    <w:p w14:paraId="02DE5E8B">
      <w:pPr>
        <w:spacing w:before="156" w:beforeLines="50" w:after="156" w:afterLines="50" w:line="240" w:lineRule="auto"/>
        <w:ind w:firstLine="0" w:firstLineChars="0"/>
        <w:jc w:val="center"/>
        <w:rPr>
          <w:rFonts w:ascii="黑体" w:eastAsia="黑体"/>
          <w:color w:val="auto"/>
          <w:szCs w:val="28"/>
        </w:rPr>
      </w:pPr>
      <w:bookmarkStart w:id="6" w:name="_Toc478144338"/>
      <w:bookmarkStart w:id="7" w:name="_Toc496619154"/>
      <w:bookmarkStart w:id="8" w:name="_Toc532299444"/>
      <w:bookmarkStart w:id="9" w:name="_Toc503257966"/>
      <w:bookmarkStart w:id="10" w:name="_Toc478137534"/>
      <w:bookmarkStart w:id="11" w:name="_Toc487534945"/>
      <w:bookmarkStart w:id="12" w:name="_Toc496604884"/>
      <w:bookmarkStart w:id="13" w:name="_Toc487441032"/>
      <w:bookmarkStart w:id="14" w:name="_Toc510032499"/>
      <w:bookmarkStart w:id="15" w:name="_Toc495535157"/>
      <w:bookmarkStart w:id="16" w:name="_Toc477721824"/>
      <w:bookmarkStart w:id="17" w:name="_Toc488182188"/>
      <w:bookmarkStart w:id="18" w:name="_Toc502007228"/>
      <w:bookmarkStart w:id="19" w:name="_Toc510096627"/>
      <w:bookmarkStart w:id="20" w:name="_Toc494458243"/>
      <w:bookmarkStart w:id="21" w:name="_Toc274381351"/>
      <w:bookmarkStart w:id="22" w:name="_Toc477721637"/>
      <w:bookmarkStart w:id="23" w:name="_Toc272714086"/>
      <w:bookmarkStart w:id="24" w:name="_Toc478399387"/>
      <w:r>
        <w:rPr>
          <w:rFonts w:hint="eastAsia" w:ascii="黑体" w:eastAsia="黑体"/>
          <w:color w:val="auto"/>
          <w:szCs w:val="28"/>
        </w:rPr>
        <w:t>《温室气体排放核算与报告要求第XX部分：生活污水处理企业》</w:t>
      </w:r>
    </w:p>
    <w:p w14:paraId="4D58A210">
      <w:pPr>
        <w:spacing w:before="156" w:beforeLines="50" w:after="156" w:afterLines="50" w:line="240" w:lineRule="auto"/>
        <w:ind w:firstLine="0" w:firstLineChars="0"/>
        <w:jc w:val="center"/>
        <w:rPr>
          <w:rFonts w:ascii="黑体" w:hAnsi="黑体" w:eastAsia="黑体" w:cstheme="minorBidi"/>
          <w:color w:val="auto"/>
          <w:szCs w:val="28"/>
        </w:rPr>
      </w:pPr>
      <w:r>
        <w:rPr>
          <w:rFonts w:ascii="黑体" w:hAnsi="黑体" w:eastAsia="黑体" w:cstheme="minorBidi"/>
          <w:color w:val="auto"/>
          <w:szCs w:val="28"/>
        </w:rPr>
        <w:t>编制说明</w:t>
      </w:r>
    </w:p>
    <w:p w14:paraId="19967CC9">
      <w:pPr>
        <w:pStyle w:val="106"/>
        <w:bidi w:val="0"/>
      </w:pPr>
      <w:bookmarkStart w:id="25" w:name="_Toc13307"/>
      <w:r>
        <w:rPr>
          <w:rFonts w:hint="eastAsia"/>
        </w:rPr>
        <w:t>工作简况</w:t>
      </w:r>
      <w:bookmarkEnd w:id="25"/>
    </w:p>
    <w:p w14:paraId="27185F45">
      <w:pPr>
        <w:pStyle w:val="110"/>
        <w:rPr>
          <w:color w:val="auto"/>
        </w:rPr>
      </w:pPr>
      <w:bookmarkStart w:id="26" w:name="_Toc12908"/>
      <w:r>
        <w:rPr>
          <w:rFonts w:hint="eastAsia"/>
          <w:color w:val="auto"/>
        </w:rPr>
        <w:t>制定背景</w:t>
      </w:r>
      <w:bookmarkEnd w:id="26"/>
    </w:p>
    <w:p w14:paraId="30989722">
      <w:pPr>
        <w:bidi w:val="0"/>
      </w:pPr>
      <w:r>
        <w:rPr>
          <w:rFonts w:hint="eastAsia"/>
        </w:rPr>
        <w:t>“十四五”时期是我国深入推进生态文明建设、推动经济社会高质量发展、全面实现绿色转型以及达成碳达峰碳中和目标的关键阶段。作为城市发展不可或缺的基础设施，污水处理设施不仅是经济发展的重要支撑，更是保障居民安全健康生活的基础条件。因此，适时制定科学规范的生活污水处理企业温室气体核算框架和报告指南，编制《温室气体排放核算与报告要求第XX部分：生活污水处理企业》标准，不仅是积极响应全球气候治理、履行碳达峰与碳中和承诺的具体举措，也是推动行业绿色转型的重要实践。</w:t>
      </w:r>
    </w:p>
    <w:p w14:paraId="202E570E">
      <w:pPr>
        <w:bidi w:val="0"/>
      </w:pPr>
      <w:r>
        <w:t>该标准</w:t>
      </w:r>
      <w:r>
        <w:rPr>
          <w:rFonts w:hint="eastAsia"/>
        </w:rPr>
        <w:t>作为</w:t>
      </w:r>
      <w:r>
        <w:t>现有的温室气体排放核算与报告体系</w:t>
      </w:r>
      <w:r>
        <w:rPr>
          <w:rFonts w:hint="eastAsia"/>
        </w:rPr>
        <w:t>的</w:t>
      </w:r>
      <w:r>
        <w:rPr>
          <w:rFonts w:hint="eastAsia"/>
          <w:lang w:val="en-US" w:eastAsia="zh-CN"/>
        </w:rPr>
        <w:t>组成部分</w:t>
      </w:r>
      <w:r>
        <w:t>，</w:t>
      </w:r>
      <w:r>
        <w:rPr>
          <w:rFonts w:hint="eastAsia"/>
        </w:rPr>
        <w:t>规定了生活污水处理企业温室气体</w:t>
      </w:r>
      <w:r>
        <w:t>排放核算方法</w:t>
      </w:r>
      <w:r>
        <w:rPr>
          <w:rFonts w:hint="eastAsia"/>
        </w:rPr>
        <w:t>，有助于</w:t>
      </w:r>
      <w:r>
        <w:t>促进企业提高能效、优化管理</w:t>
      </w:r>
      <w:r>
        <w:rPr>
          <w:rFonts w:hint="eastAsia"/>
        </w:rPr>
        <w:t>，增强</w:t>
      </w:r>
      <w:r>
        <w:rPr>
          <w:rFonts w:hint="eastAsia"/>
          <w:lang w:val="en-US" w:eastAsia="zh-CN"/>
        </w:rPr>
        <w:t>对</w:t>
      </w:r>
      <w:r>
        <w:t>温室气体排放</w:t>
      </w:r>
      <w:r>
        <w:rPr>
          <w:rFonts w:hint="eastAsia"/>
        </w:rPr>
        <w:t>的</w:t>
      </w:r>
      <w:r>
        <w:t>理解和控制，进一步推动我国低碳经济转型，为实现国家</w:t>
      </w:r>
      <w:r>
        <w:rPr>
          <w:rFonts w:hint="eastAsia"/>
          <w:lang w:val="en-US" w:eastAsia="zh-CN"/>
        </w:rPr>
        <w:t>双碳</w:t>
      </w:r>
      <w:r>
        <w:t>目标提供支撑</w:t>
      </w:r>
      <w:r>
        <w:rPr>
          <w:rFonts w:hint="eastAsia"/>
        </w:rPr>
        <w:t>，</w:t>
      </w:r>
      <w:r>
        <w:t>同时为地方政府和相关部门提供监管和决策依据。</w:t>
      </w:r>
    </w:p>
    <w:p w14:paraId="6CB51AC8">
      <w:pPr>
        <w:pStyle w:val="107"/>
        <w:rPr>
          <w:rFonts w:hint="eastAsia" w:eastAsia="宋体"/>
          <w:lang w:eastAsia="zh-CN"/>
        </w:rPr>
      </w:pPr>
      <w:r>
        <w:rPr>
          <w:rFonts w:hint="eastAsia"/>
          <w:color w:val="auto"/>
        </w:rPr>
        <w:t>生活污水处理行业现状</w:t>
      </w:r>
    </w:p>
    <w:p w14:paraId="4C32772A">
      <w:pPr>
        <w:bidi w:val="0"/>
      </w:pPr>
      <w:r>
        <w:rPr>
          <w:rFonts w:hint="eastAsia"/>
        </w:rPr>
        <w:t>随着我国对环境保护及污水处理的愈加重视，我国污水处理厂</w:t>
      </w:r>
      <w:r>
        <w:rPr>
          <w:rFonts w:hint="eastAsia"/>
          <w:lang w:val="en-US" w:eastAsia="zh-CN"/>
        </w:rPr>
        <w:t>的</w:t>
      </w:r>
      <w:r>
        <w:rPr>
          <w:rFonts w:hint="eastAsia"/>
        </w:rPr>
        <w:t>数量持续增多、污水处理能力持续</w:t>
      </w:r>
      <w:r>
        <w:rPr>
          <w:rFonts w:hint="eastAsia"/>
          <w:lang w:val="en-US" w:eastAsia="zh-CN"/>
        </w:rPr>
        <w:t>提高</w:t>
      </w:r>
      <w:r>
        <w:rPr>
          <w:rFonts w:hint="eastAsia"/>
        </w:rPr>
        <w:t>。2022年，我国城市污水和县城污水处理厂数量分别达到2894座和1801座，</w:t>
      </w:r>
      <w:r>
        <w:rPr>
          <w:rFonts w:hint="eastAsia"/>
          <w:lang w:val="en-US" w:eastAsia="zh-CN"/>
        </w:rPr>
        <w:t>比</w:t>
      </w:r>
      <w:r>
        <w:rPr>
          <w:rFonts w:hint="eastAsia"/>
        </w:rPr>
        <w:t>2010年分别增长了100.4%和71.2%；污水处理能力分别达到了21606.1万立方米/日和4184.7万立方米/日，</w:t>
      </w:r>
      <w:r>
        <w:rPr>
          <w:rFonts w:hint="eastAsia"/>
          <w:lang w:val="en-US" w:eastAsia="zh-CN"/>
        </w:rPr>
        <w:t>比</w:t>
      </w:r>
      <w:r>
        <w:rPr>
          <w:rFonts w:hint="eastAsia"/>
        </w:rPr>
        <w:t>2010年分别增长了107.0%和105.1%（图</w:t>
      </w:r>
      <w:r>
        <w:rPr>
          <w:rFonts w:hint="eastAsia"/>
          <w:lang w:val="en-US" w:eastAsia="zh-CN"/>
        </w:rPr>
        <w:t>1</w:t>
      </w:r>
      <w:r>
        <w:rPr>
          <w:rFonts w:hint="eastAsia"/>
        </w:rPr>
        <w:t>）。城市和县城的污水处理量分别为627亿立方米和111</w:t>
      </w:r>
      <w:r>
        <w:rPr>
          <w:rFonts w:hint="eastAsia"/>
          <w:lang w:eastAsia="zh"/>
          <w:woUserID w:val="14"/>
        </w:rPr>
        <w:t>.</w:t>
      </w:r>
      <w:r>
        <w:rPr>
          <w:rFonts w:hint="eastAsia"/>
        </w:rPr>
        <w:t>4亿立方米，</w:t>
      </w:r>
      <w:r>
        <w:rPr>
          <w:rFonts w:hint="eastAsia"/>
          <w:lang w:val="en-US" w:eastAsia="zh-CN"/>
        </w:rPr>
        <w:t>比</w:t>
      </w:r>
      <w:r>
        <w:rPr>
          <w:rFonts w:hint="eastAsia"/>
        </w:rPr>
        <w:t>2010年分别增长了101.1%和157.3%（图</w:t>
      </w:r>
      <w:r>
        <w:rPr>
          <w:rFonts w:hint="eastAsia"/>
          <w:lang w:val="en-US" w:eastAsia="zh-CN"/>
        </w:rPr>
        <w:t>2</w:t>
      </w:r>
      <w:r>
        <w:rPr>
          <w:rFonts w:hint="eastAsia"/>
        </w:rPr>
        <w:t>）</w:t>
      </w:r>
      <w:r>
        <w:rPr>
          <w:rFonts w:hint="eastAsia"/>
          <w:lang w:eastAsia="zh-CN"/>
        </w:rPr>
        <w:t>。</w:t>
      </w:r>
      <w:r>
        <w:rPr>
          <w:rFonts w:hint="eastAsia"/>
          <w:lang w:val="en-US" w:eastAsia="zh-CN"/>
        </w:rPr>
        <w:t>同时，</w:t>
      </w:r>
      <w:r>
        <w:rPr>
          <w:rFonts w:hint="eastAsia"/>
        </w:rPr>
        <w:t>2022年我国污水处理厂干污泥产生量为13</w:t>
      </w:r>
      <w:r>
        <w:rPr>
          <w:rFonts w:hint="eastAsia"/>
          <w:lang w:val="en-US" w:eastAsia="zh-CN"/>
        </w:rPr>
        <w:t>70万</w:t>
      </w:r>
      <w:r>
        <w:rPr>
          <w:rFonts w:hint="eastAsia"/>
        </w:rPr>
        <w:t>吨，比2011年增长了130.6%；干污泥处置量136</w:t>
      </w:r>
      <w:r>
        <w:rPr>
          <w:rFonts w:hint="eastAsia"/>
          <w:lang w:val="en-US" w:eastAsia="zh-CN"/>
        </w:rPr>
        <w:t>2万</w:t>
      </w:r>
      <w:r>
        <w:rPr>
          <w:rFonts w:hint="eastAsia"/>
        </w:rPr>
        <w:t>吨，比2011年增长了149.7%。</w:t>
      </w:r>
    </w:p>
    <w:p w14:paraId="18621C89">
      <w:pPr>
        <w:spacing w:line="240" w:lineRule="auto"/>
        <w:ind w:firstLine="0" w:firstLineChars="0"/>
        <w:jc w:val="center"/>
        <w:rPr>
          <w:color w:val="auto"/>
          <w:szCs w:val="28"/>
        </w:rPr>
      </w:pPr>
      <w:r>
        <w:rPr>
          <w:color w:val="auto"/>
          <w:szCs w:val="28"/>
        </w:rPr>
        <w:drawing>
          <wp:inline distT="0" distB="0" distL="0" distR="0">
            <wp:extent cx="2807335" cy="2206625"/>
            <wp:effectExtent l="0" t="0" r="2540" b="3175"/>
            <wp:docPr id="7" name="图片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pic:cNvPicPr>
                      <a:picLocks noChangeAspect="1" noChangeArrowheads="1"/>
                    </pic:cNvPicPr>
                  </pic:nvPicPr>
                  <pic:blipFill>
                    <a:blip r:embed="rId14" cstate="print">
                      <a:extLst>
                        <a:ext uri="{28A0092B-C50C-407E-A947-70E740481C1C}">
                          <a14:useLocalDpi xmlns:a14="http://schemas.microsoft.com/office/drawing/2010/main" val="0"/>
                        </a:ext>
                      </a:extLst>
                    </a:blip>
                    <a:srcRect l="4551" t="3449" r="10566" b="4449"/>
                    <a:stretch>
                      <a:fillRect/>
                    </a:stretch>
                  </pic:blipFill>
                  <pic:spPr>
                    <a:xfrm>
                      <a:off x="0" y="0"/>
                      <a:ext cx="2807335" cy="2206625"/>
                    </a:xfrm>
                    <a:prstGeom prst="rect">
                      <a:avLst/>
                    </a:prstGeom>
                    <a:noFill/>
                    <a:ln>
                      <a:noFill/>
                    </a:ln>
                  </pic:spPr>
                </pic:pic>
              </a:graphicData>
            </a:graphic>
          </wp:inline>
        </w:drawing>
      </w:r>
    </w:p>
    <w:p w14:paraId="06ED7ACE">
      <w:pPr>
        <w:ind w:firstLine="562"/>
        <w:jc w:val="center"/>
        <w:rPr>
          <w:b/>
          <w:color w:val="auto"/>
        </w:rPr>
      </w:pPr>
      <w:r>
        <w:rPr>
          <w:rFonts w:hint="eastAsia"/>
          <w:b/>
          <w:color w:val="auto"/>
        </w:rPr>
        <w:t>图</w:t>
      </w:r>
      <w:r>
        <w:rPr>
          <w:rFonts w:hint="eastAsia"/>
          <w:b/>
          <w:color w:val="auto"/>
          <w:lang w:val="en-US" w:eastAsia="zh-CN"/>
        </w:rPr>
        <w:t xml:space="preserve">1 </w:t>
      </w:r>
      <w:r>
        <w:rPr>
          <w:b/>
          <w:color w:val="auto"/>
        </w:rPr>
        <w:t>1978</w:t>
      </w:r>
      <w:r>
        <w:rPr>
          <w:rFonts w:hint="eastAsia"/>
          <w:b/>
          <w:color w:val="auto"/>
        </w:rPr>
        <w:t>-</w:t>
      </w:r>
      <w:r>
        <w:rPr>
          <w:b/>
          <w:color w:val="auto"/>
        </w:rPr>
        <w:t>2022</w:t>
      </w:r>
      <w:r>
        <w:rPr>
          <w:rFonts w:hint="eastAsia"/>
          <w:b/>
          <w:color w:val="auto"/>
        </w:rPr>
        <w:t>年中国污水处理厂数量与处理能力</w:t>
      </w:r>
    </w:p>
    <w:p w14:paraId="233836D1">
      <w:pPr>
        <w:ind w:firstLine="482"/>
        <w:jc w:val="center"/>
        <w:rPr>
          <w:rFonts w:hint="eastAsia"/>
          <w:b w:val="0"/>
          <w:bCs/>
          <w:color w:val="auto"/>
          <w:sz w:val="21"/>
          <w:szCs w:val="21"/>
        </w:rPr>
      </w:pPr>
      <w:r>
        <w:rPr>
          <w:rFonts w:hint="eastAsia"/>
          <w:b w:val="0"/>
          <w:bCs/>
          <w:color w:val="auto"/>
          <w:sz w:val="21"/>
          <w:szCs w:val="21"/>
        </w:rPr>
        <w:t>（数据来源：《中国城乡建设统计年鉴》）</w:t>
      </w:r>
    </w:p>
    <w:p w14:paraId="2704E2FA">
      <w:pPr>
        <w:ind w:left="0" w:leftChars="0" w:firstLine="0" w:firstLineChars="0"/>
        <w:jc w:val="center"/>
        <w:rPr>
          <w:rFonts w:hint="eastAsia"/>
          <w:color w:val="auto"/>
        </w:rPr>
      </w:pPr>
      <w:r>
        <w:rPr>
          <w:rFonts w:hint="eastAsia"/>
          <w:color w:val="auto"/>
        </w:rPr>
        <w:drawing>
          <wp:inline distT="0" distB="0" distL="0" distR="0">
            <wp:extent cx="2970530" cy="2239010"/>
            <wp:effectExtent l="0" t="0" r="1270" b="889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pic:cNvPicPr>
                      <a:picLocks noChangeAspect="1" noChangeArrowheads="1"/>
                    </pic:cNvPicPr>
                  </pic:nvPicPr>
                  <pic:blipFill>
                    <a:blip r:embed="rId15" cstate="print">
                      <a:extLst>
                        <a:ext uri="{28A0092B-C50C-407E-A947-70E740481C1C}">
                          <a14:useLocalDpi xmlns:a14="http://schemas.microsoft.com/office/drawing/2010/main" val="0"/>
                        </a:ext>
                      </a:extLst>
                    </a:blip>
                    <a:srcRect l="4384" t="3739" r="19270" b="6574"/>
                    <a:stretch>
                      <a:fillRect/>
                    </a:stretch>
                  </pic:blipFill>
                  <pic:spPr>
                    <a:xfrm>
                      <a:off x="0" y="0"/>
                      <a:ext cx="2970530" cy="2239010"/>
                    </a:xfrm>
                    <a:prstGeom prst="rect">
                      <a:avLst/>
                    </a:prstGeom>
                    <a:noFill/>
                    <a:ln>
                      <a:noFill/>
                    </a:ln>
                  </pic:spPr>
                </pic:pic>
              </a:graphicData>
            </a:graphic>
          </wp:inline>
        </w:drawing>
      </w:r>
    </w:p>
    <w:p w14:paraId="436D01B2">
      <w:pPr>
        <w:ind w:firstLine="562"/>
        <w:jc w:val="center"/>
        <w:rPr>
          <w:b/>
          <w:color w:val="auto"/>
        </w:rPr>
      </w:pPr>
      <w:r>
        <w:rPr>
          <w:rFonts w:hint="eastAsia"/>
          <w:b/>
          <w:color w:val="auto"/>
        </w:rPr>
        <w:t>图</w:t>
      </w:r>
      <w:r>
        <w:rPr>
          <w:rFonts w:hint="eastAsia"/>
          <w:b/>
          <w:color w:val="auto"/>
          <w:lang w:val="en-US" w:eastAsia="zh-CN"/>
        </w:rPr>
        <w:t>2</w:t>
      </w:r>
      <w:r>
        <w:rPr>
          <w:b/>
          <w:color w:val="auto"/>
        </w:rPr>
        <w:t xml:space="preserve"> 1991</w:t>
      </w:r>
      <w:r>
        <w:rPr>
          <w:rFonts w:hint="eastAsia"/>
          <w:b/>
          <w:color w:val="auto"/>
        </w:rPr>
        <w:t>-</w:t>
      </w:r>
      <w:r>
        <w:rPr>
          <w:b/>
          <w:color w:val="auto"/>
        </w:rPr>
        <w:t>2022</w:t>
      </w:r>
      <w:r>
        <w:rPr>
          <w:rFonts w:hint="eastAsia"/>
          <w:b/>
          <w:color w:val="auto"/>
        </w:rPr>
        <w:t>年中国城市和县城污水处理量及污水处理率</w:t>
      </w:r>
    </w:p>
    <w:p w14:paraId="09308073">
      <w:pPr>
        <w:ind w:firstLine="482"/>
        <w:jc w:val="center"/>
        <w:rPr>
          <w:rFonts w:hint="eastAsia"/>
          <w:b w:val="0"/>
          <w:bCs/>
          <w:color w:val="auto"/>
          <w:sz w:val="21"/>
          <w:szCs w:val="21"/>
        </w:rPr>
      </w:pPr>
      <w:r>
        <w:rPr>
          <w:rFonts w:hint="eastAsia"/>
          <w:b w:val="0"/>
          <w:bCs/>
          <w:color w:val="auto"/>
          <w:sz w:val="21"/>
          <w:szCs w:val="21"/>
        </w:rPr>
        <w:t>（数据来源：《中国城乡建设统计年鉴》）</w:t>
      </w:r>
    </w:p>
    <w:p w14:paraId="3C9B279F">
      <w:pPr>
        <w:pStyle w:val="107"/>
        <w:rPr>
          <w:color w:val="auto"/>
        </w:rPr>
      </w:pPr>
      <w:bookmarkStart w:id="27" w:name="_Hlk173487051"/>
      <w:r>
        <w:rPr>
          <w:rFonts w:hint="eastAsia"/>
          <w:color w:val="auto"/>
        </w:rPr>
        <w:t>污水处理行业对我国碳排放的贡献情况</w:t>
      </w:r>
    </w:p>
    <w:bookmarkEnd w:id="27"/>
    <w:p w14:paraId="6BE351BE">
      <w:pPr>
        <w:bidi w:val="0"/>
        <w:rPr>
          <w:rFonts w:hint="eastAsia"/>
        </w:rPr>
      </w:pPr>
      <w:r>
        <w:rPr>
          <w:rFonts w:hint="eastAsia"/>
        </w:rPr>
        <w:t>污水处理行业是温室气体排放的重要来源之一，尤其是甲烷（CH</w:t>
      </w:r>
      <w:r>
        <w:rPr>
          <w:rFonts w:hint="eastAsia"/>
          <w:vertAlign w:val="subscript"/>
        </w:rPr>
        <w:t>4</w:t>
      </w:r>
      <w:r>
        <w:rPr>
          <w:rFonts w:hint="eastAsia"/>
        </w:rPr>
        <w:t>）排放。2005年，污水处理行业的CH</w:t>
      </w:r>
      <w:r>
        <w:rPr>
          <w:rFonts w:hint="eastAsia"/>
          <w:vertAlign w:val="subscript"/>
        </w:rPr>
        <w:t>4</w:t>
      </w:r>
      <w:r>
        <w:rPr>
          <w:rFonts w:hint="eastAsia"/>
        </w:rPr>
        <w:t>排放量为175.0万吨，占当年温室气体总排放量（不包括土地利用、土地利用变化和林业，LULUCF）的3.7%。到2020年，CH</w:t>
      </w:r>
      <w:r>
        <w:rPr>
          <w:rFonts w:hint="eastAsia"/>
          <w:vertAlign w:val="subscript"/>
        </w:rPr>
        <w:t>4</w:t>
      </w:r>
      <w:r>
        <w:rPr>
          <w:rFonts w:hint="eastAsia"/>
        </w:rPr>
        <w:t>排放量增加至228.0万吨，占比为3.8%</w:t>
      </w:r>
      <w:r>
        <w:rPr>
          <w:rFonts w:hint="eastAsia"/>
          <w:lang w:val="en-US" w:eastAsia="zh-CN"/>
        </w:rPr>
        <w:t xml:space="preserve"> （表1）</w:t>
      </w:r>
      <w:r>
        <w:rPr>
          <w:rFonts w:hint="eastAsia"/>
        </w:rPr>
        <w:t>。2021年，CH</w:t>
      </w:r>
      <w:r>
        <w:rPr>
          <w:rFonts w:hint="eastAsia"/>
          <w:vertAlign w:val="subscript"/>
        </w:rPr>
        <w:t>4</w:t>
      </w:r>
      <w:r>
        <w:rPr>
          <w:rFonts w:hint="eastAsia"/>
        </w:rPr>
        <w:t>排放量进一步增加到229.7万吨，占比仍为3.9%。这表明污水处理行业的CH</w:t>
      </w:r>
      <w:r>
        <w:rPr>
          <w:rFonts w:hint="eastAsia"/>
          <w:vertAlign w:val="subscript"/>
        </w:rPr>
        <w:t>4</w:t>
      </w:r>
      <w:r>
        <w:rPr>
          <w:rFonts w:hint="eastAsia"/>
        </w:rPr>
        <w:t>排放量在过去十几年间呈现缓慢增长趋势，但其在总排放中的占比相对稳定。</w:t>
      </w:r>
    </w:p>
    <w:p w14:paraId="0B40BF6B">
      <w:pPr>
        <w:bidi w:val="0"/>
        <w:rPr>
          <w:rFonts w:hint="eastAsia"/>
        </w:rPr>
      </w:pPr>
      <w:r>
        <w:rPr>
          <w:rFonts w:hint="eastAsia"/>
        </w:rPr>
        <w:t>2005年，污水处理行业的氧化亚氮（N</w:t>
      </w:r>
      <w:r>
        <w:rPr>
          <w:rFonts w:hint="eastAsia"/>
          <w:vertAlign w:val="subscript"/>
        </w:rPr>
        <w:t>2</w:t>
      </w:r>
      <w:r>
        <w:rPr>
          <w:rFonts w:hint="eastAsia"/>
        </w:rPr>
        <w:t>O）排放量为144万吨，占总排放量（不包括LULUCF）的8.9%。到2020年，排放量增加至197.9万吨，占比为4.4%。2021年，N</w:t>
      </w:r>
      <w:r>
        <w:rPr>
          <w:rFonts w:hint="eastAsia"/>
          <w:vertAlign w:val="subscript"/>
        </w:rPr>
        <w:t>2</w:t>
      </w:r>
      <w:r>
        <w:rPr>
          <w:rFonts w:hint="eastAsia"/>
        </w:rPr>
        <w:t>O排放量进一步增加到210.2万吨，占比为4.2%。尽管N</w:t>
      </w:r>
      <w:r>
        <w:rPr>
          <w:rFonts w:hint="eastAsia"/>
          <w:vertAlign w:val="subscript"/>
        </w:rPr>
        <w:t>2</w:t>
      </w:r>
      <w:r>
        <w:rPr>
          <w:rFonts w:hint="eastAsia"/>
        </w:rPr>
        <w:t>O排放量逐年增加，但其在总排放中的占比变化不大，整体保持在较低水平。</w:t>
      </w:r>
    </w:p>
    <w:p w14:paraId="6D222449">
      <w:pPr>
        <w:bidi w:val="0"/>
        <w:rPr>
          <w:rFonts w:hint="eastAsia"/>
        </w:rPr>
      </w:pPr>
      <w:r>
        <w:rPr>
          <w:rFonts w:hint="eastAsia"/>
        </w:rPr>
        <w:t>根据《中华人民共和国气候变化第一次双年透明度报告》以及相关数据，污水处理行业在中国温室气体总排放中的占比相对较低，但CH</w:t>
      </w:r>
      <w:r>
        <w:rPr>
          <w:rFonts w:hint="eastAsia"/>
          <w:vertAlign w:val="subscript"/>
        </w:rPr>
        <w:t>4</w:t>
      </w:r>
      <w:r>
        <w:rPr>
          <w:rFonts w:hint="eastAsia"/>
        </w:rPr>
        <w:t>和N</w:t>
      </w:r>
      <w:r>
        <w:rPr>
          <w:rFonts w:hint="eastAsia"/>
          <w:vertAlign w:val="subscript"/>
        </w:rPr>
        <w:t>2</w:t>
      </w:r>
      <w:r>
        <w:rPr>
          <w:rFonts w:hint="eastAsia"/>
        </w:rPr>
        <w:t>O的排放量在过去十几年间呈现</w:t>
      </w:r>
      <w:r>
        <w:rPr>
          <w:rFonts w:hint="eastAsia"/>
          <w:lang w:val="en-US" w:eastAsia="zh-CN"/>
        </w:rPr>
        <w:t>缓慢</w:t>
      </w:r>
      <w:r>
        <w:rPr>
          <w:rFonts w:hint="eastAsia"/>
        </w:rPr>
        <w:t>的</w:t>
      </w:r>
      <w:r>
        <w:rPr>
          <w:rFonts w:hint="eastAsia"/>
          <w:lang w:val="en-US" w:eastAsia="zh-CN"/>
        </w:rPr>
        <w:t>增长</w:t>
      </w:r>
      <w:r>
        <w:rPr>
          <w:rFonts w:hint="eastAsia"/>
        </w:rPr>
        <w:t>趋势。在应对气候变化的过程中，需要关注污水处理行业的温室气体排放，并采取有效措施加以控制，以减少其对整体排放的贡献。</w:t>
      </w:r>
    </w:p>
    <w:p w14:paraId="6EB4BFA0">
      <w:pPr>
        <w:ind w:left="0" w:leftChars="0" w:firstLine="0" w:firstLineChars="0"/>
        <w:jc w:val="both"/>
        <w:rPr>
          <w:rFonts w:hint="eastAsia" w:ascii="Times New Roman" w:hAnsi="Times New Roman" w:eastAsia="宋体" w:cs="Times New Roman"/>
          <w:b/>
          <w:bCs/>
          <w:color w:val="auto"/>
          <w:kern w:val="2"/>
          <w:sz w:val="28"/>
          <w:szCs w:val="28"/>
          <w:lang w:val="en-US" w:eastAsia="zh-CN" w:bidi="ar-SA"/>
        </w:rPr>
      </w:pPr>
      <w:r>
        <w:rPr>
          <w:rFonts w:hint="eastAsia" w:ascii="Times New Roman" w:hAnsi="Times New Roman" w:eastAsia="宋体" w:cs="Times New Roman"/>
          <w:b/>
          <w:bCs/>
          <w:color w:val="auto"/>
          <w:kern w:val="2"/>
          <w:sz w:val="28"/>
          <w:szCs w:val="28"/>
          <w:lang w:val="en-US" w:eastAsia="zh-CN" w:bidi="ar-SA"/>
        </w:rPr>
        <w:t xml:space="preserve">表1 </w:t>
      </w:r>
      <w:r>
        <w:rPr>
          <w:rFonts w:hint="eastAsia" w:eastAsia="宋体" w:cs="Times New Roman"/>
          <w:b/>
          <w:bCs/>
          <w:color w:val="auto"/>
          <w:kern w:val="2"/>
          <w:sz w:val="28"/>
          <w:szCs w:val="28"/>
          <w:lang w:val="en-US" w:eastAsia="zh-CN" w:bidi="ar-SA"/>
        </w:rPr>
        <w:t>2005、2020、2021</w:t>
      </w:r>
      <w:r>
        <w:rPr>
          <w:rFonts w:hint="eastAsia" w:ascii="Times New Roman" w:hAnsi="Times New Roman" w:eastAsia="宋体" w:cs="Times New Roman"/>
          <w:b/>
          <w:bCs/>
          <w:color w:val="auto"/>
          <w:kern w:val="2"/>
          <w:sz w:val="28"/>
          <w:szCs w:val="28"/>
          <w:lang w:val="en-US" w:eastAsia="zh-CN" w:bidi="ar-SA"/>
        </w:rPr>
        <w:t>年污/废水处理领域温室气体排放清单（万吨）</w:t>
      </w:r>
    </w:p>
    <w:tbl>
      <w:tblPr>
        <w:tblStyle w:val="8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4"/>
        <w:gridCol w:w="1316"/>
        <w:gridCol w:w="1300"/>
        <w:gridCol w:w="1302"/>
        <w:gridCol w:w="1300"/>
        <w:gridCol w:w="1300"/>
        <w:gridCol w:w="1306"/>
      </w:tblGrid>
      <w:tr w14:paraId="473F68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Merge w:val="restart"/>
            <w:vAlign w:val="center"/>
          </w:tcPr>
          <w:p w14:paraId="272859F5">
            <w:pPr>
              <w:suppressLineNumbers w:val="0"/>
              <w:spacing w:before="0" w:after="0" w:line="240" w:lineRule="auto"/>
              <w:ind w:left="0" w:right="0" w:firstLine="0" w:firstLineChars="0"/>
              <w:jc w:val="center"/>
              <w:rPr>
                <w:rFonts w:hint="default"/>
                <w:b w:val="0"/>
                <w:bCs/>
                <w:color w:val="auto"/>
                <w:sz w:val="24"/>
              </w:rPr>
            </w:pPr>
            <w:r>
              <w:rPr>
                <w:rFonts w:hint="eastAsia"/>
                <w:b w:val="0"/>
                <w:bCs/>
                <w:color w:val="auto"/>
                <w:sz w:val="24"/>
              </w:rPr>
              <w:t>年份</w:t>
            </w:r>
          </w:p>
        </w:tc>
        <w:tc>
          <w:tcPr>
            <w:tcW w:w="2297" w:type="pct"/>
            <w:gridSpan w:val="3"/>
            <w:vAlign w:val="center"/>
          </w:tcPr>
          <w:p w14:paraId="520FD728">
            <w:pPr>
              <w:suppressLineNumbers w:val="0"/>
              <w:spacing w:before="0" w:after="0" w:line="240" w:lineRule="auto"/>
              <w:ind w:left="0" w:right="0" w:firstLine="0" w:firstLineChars="0"/>
              <w:jc w:val="center"/>
              <w:rPr>
                <w:rFonts w:hint="default"/>
                <w:b w:val="0"/>
                <w:bCs/>
                <w:color w:val="auto"/>
                <w:sz w:val="24"/>
              </w:rPr>
            </w:pPr>
            <w:r>
              <w:rPr>
                <w:rFonts w:hint="eastAsia"/>
                <w:b w:val="0"/>
                <w:bCs/>
                <w:color w:val="auto"/>
                <w:sz w:val="24"/>
              </w:rPr>
              <w:t>甲烷</w:t>
            </w:r>
          </w:p>
        </w:tc>
        <w:tc>
          <w:tcPr>
            <w:tcW w:w="2290" w:type="pct"/>
            <w:gridSpan w:val="3"/>
            <w:vAlign w:val="center"/>
          </w:tcPr>
          <w:p w14:paraId="44BDFA7D">
            <w:pPr>
              <w:suppressLineNumbers w:val="0"/>
              <w:spacing w:before="0" w:after="0" w:line="240" w:lineRule="auto"/>
              <w:ind w:left="0" w:right="0" w:firstLine="0" w:firstLineChars="0"/>
              <w:jc w:val="center"/>
              <w:rPr>
                <w:rFonts w:hint="default"/>
                <w:b w:val="0"/>
                <w:bCs/>
                <w:color w:val="auto"/>
                <w:sz w:val="24"/>
              </w:rPr>
            </w:pPr>
            <w:r>
              <w:rPr>
                <w:rFonts w:hint="eastAsia"/>
                <w:b w:val="0"/>
                <w:bCs/>
                <w:color w:val="auto"/>
                <w:sz w:val="24"/>
              </w:rPr>
              <w:t>氧化亚氮</w:t>
            </w:r>
          </w:p>
        </w:tc>
      </w:tr>
      <w:tr w14:paraId="7944733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12" w:type="pct"/>
            <w:vMerge w:val="continue"/>
            <w:vAlign w:val="center"/>
          </w:tcPr>
          <w:p w14:paraId="66A81113">
            <w:pPr>
              <w:suppressLineNumbers w:val="0"/>
              <w:spacing w:before="0" w:after="0" w:line="240" w:lineRule="auto"/>
              <w:ind w:left="0" w:right="0" w:firstLine="0" w:firstLineChars="0"/>
              <w:jc w:val="center"/>
              <w:rPr>
                <w:rFonts w:hint="default"/>
                <w:b w:val="0"/>
                <w:bCs/>
                <w:color w:val="auto"/>
                <w:sz w:val="24"/>
              </w:rPr>
            </w:pPr>
          </w:p>
        </w:tc>
        <w:tc>
          <w:tcPr>
            <w:tcW w:w="771" w:type="pct"/>
            <w:vAlign w:val="center"/>
          </w:tcPr>
          <w:p w14:paraId="58A3F7B8">
            <w:pPr>
              <w:suppressLineNumbers w:val="0"/>
              <w:spacing w:before="0" w:after="0" w:line="240" w:lineRule="auto"/>
              <w:ind w:left="0" w:right="0" w:firstLine="0" w:firstLineChars="0"/>
              <w:jc w:val="both"/>
              <w:rPr>
                <w:rFonts w:hint="eastAsia"/>
                <w:b w:val="0"/>
                <w:bCs/>
                <w:color w:val="auto"/>
                <w:sz w:val="24"/>
              </w:rPr>
            </w:pPr>
            <w:r>
              <w:rPr>
                <w:rFonts w:hint="eastAsia"/>
                <w:b w:val="0"/>
                <w:bCs/>
                <w:color w:val="auto"/>
                <w:sz w:val="24"/>
              </w:rPr>
              <w:t>总排放量</w:t>
            </w:r>
          </w:p>
          <w:p w14:paraId="4258E922">
            <w:pPr>
              <w:suppressLineNumbers w:val="0"/>
              <w:spacing w:before="0" w:after="0" w:line="240" w:lineRule="auto"/>
              <w:ind w:left="0" w:right="0" w:firstLine="0" w:firstLineChars="0"/>
              <w:jc w:val="both"/>
              <w:rPr>
                <w:rFonts w:hint="default" w:eastAsiaTheme="minorEastAsia"/>
                <w:b w:val="0"/>
                <w:bCs/>
                <w:color w:val="auto"/>
                <w:sz w:val="24"/>
                <w:lang w:val="en-US" w:eastAsia="zh-CN"/>
              </w:rPr>
            </w:pPr>
            <w:r>
              <w:rPr>
                <w:rFonts w:hint="eastAsia"/>
                <w:b w:val="0"/>
                <w:bCs/>
                <w:color w:val="auto"/>
                <w:sz w:val="24"/>
                <w:lang w:eastAsia="zh-CN"/>
              </w:rPr>
              <w:t>（</w:t>
            </w:r>
            <w:r>
              <w:rPr>
                <w:rFonts w:hint="eastAsia"/>
                <w:b w:val="0"/>
                <w:bCs/>
                <w:color w:val="auto"/>
                <w:sz w:val="24"/>
                <w:lang w:val="en-US" w:eastAsia="zh-CN"/>
              </w:rPr>
              <w:t>不包括LULUCF)</w:t>
            </w:r>
          </w:p>
        </w:tc>
        <w:tc>
          <w:tcPr>
            <w:tcW w:w="762" w:type="pct"/>
            <w:vAlign w:val="center"/>
          </w:tcPr>
          <w:p w14:paraId="25632450">
            <w:pPr>
              <w:suppressLineNumbers w:val="0"/>
              <w:spacing w:before="0" w:after="0" w:line="240" w:lineRule="auto"/>
              <w:ind w:left="0" w:right="0" w:firstLine="0" w:firstLineChars="0"/>
              <w:jc w:val="center"/>
              <w:rPr>
                <w:rFonts w:hint="default"/>
                <w:b w:val="0"/>
                <w:bCs/>
                <w:color w:val="auto"/>
                <w:sz w:val="24"/>
              </w:rPr>
            </w:pPr>
            <w:r>
              <w:rPr>
                <w:rFonts w:hint="eastAsia"/>
                <w:b w:val="0"/>
                <w:bCs/>
                <w:color w:val="auto"/>
                <w:sz w:val="24"/>
              </w:rPr>
              <w:t>污</w:t>
            </w:r>
            <w:r>
              <w:rPr>
                <w:rFonts w:hint="default"/>
                <w:b w:val="0"/>
                <w:bCs/>
                <w:color w:val="auto"/>
                <w:sz w:val="24"/>
              </w:rPr>
              <w:t>/</w:t>
            </w:r>
            <w:r>
              <w:rPr>
                <w:rFonts w:hint="eastAsia"/>
                <w:b w:val="0"/>
                <w:bCs/>
                <w:color w:val="auto"/>
                <w:sz w:val="24"/>
              </w:rPr>
              <w:t>废水处理领域排放量</w:t>
            </w:r>
          </w:p>
        </w:tc>
        <w:tc>
          <w:tcPr>
            <w:tcW w:w="763" w:type="pct"/>
            <w:vAlign w:val="center"/>
          </w:tcPr>
          <w:p w14:paraId="6774DC10">
            <w:pPr>
              <w:suppressLineNumbers w:val="0"/>
              <w:spacing w:before="0" w:after="0" w:line="240" w:lineRule="auto"/>
              <w:ind w:left="0" w:right="0" w:firstLine="0" w:firstLineChars="0"/>
              <w:jc w:val="center"/>
              <w:rPr>
                <w:rFonts w:hint="default"/>
                <w:b w:val="0"/>
                <w:bCs/>
                <w:color w:val="auto"/>
                <w:sz w:val="24"/>
              </w:rPr>
            </w:pPr>
            <w:r>
              <w:rPr>
                <w:rFonts w:hint="eastAsia"/>
                <w:b w:val="0"/>
                <w:bCs/>
                <w:color w:val="auto"/>
                <w:sz w:val="24"/>
              </w:rPr>
              <w:t>污</w:t>
            </w:r>
            <w:r>
              <w:rPr>
                <w:rFonts w:hint="default"/>
                <w:b w:val="0"/>
                <w:bCs/>
                <w:color w:val="auto"/>
                <w:sz w:val="24"/>
              </w:rPr>
              <w:t>/</w:t>
            </w:r>
            <w:r>
              <w:rPr>
                <w:rFonts w:hint="eastAsia"/>
                <w:b w:val="0"/>
                <w:bCs/>
                <w:color w:val="auto"/>
                <w:sz w:val="24"/>
              </w:rPr>
              <w:t>废水处理领域占比</w:t>
            </w:r>
          </w:p>
        </w:tc>
        <w:tc>
          <w:tcPr>
            <w:tcW w:w="762" w:type="pct"/>
            <w:vAlign w:val="center"/>
          </w:tcPr>
          <w:p w14:paraId="092B4B33">
            <w:pPr>
              <w:suppressLineNumbers w:val="0"/>
              <w:spacing w:before="0" w:after="0" w:line="240" w:lineRule="auto"/>
              <w:ind w:left="0" w:right="0" w:firstLine="0" w:firstLineChars="0"/>
              <w:jc w:val="center"/>
              <w:rPr>
                <w:rFonts w:hint="default"/>
                <w:b w:val="0"/>
                <w:bCs/>
                <w:color w:val="auto"/>
                <w:sz w:val="24"/>
              </w:rPr>
            </w:pPr>
            <w:r>
              <w:rPr>
                <w:rFonts w:hint="eastAsia"/>
                <w:b w:val="0"/>
                <w:bCs/>
                <w:color w:val="auto"/>
                <w:sz w:val="24"/>
              </w:rPr>
              <w:t>总排放量</w:t>
            </w:r>
            <w:r>
              <w:rPr>
                <w:rFonts w:hint="eastAsia"/>
                <w:b w:val="0"/>
                <w:bCs/>
                <w:color w:val="auto"/>
                <w:sz w:val="24"/>
                <w:lang w:eastAsia="zh-CN"/>
              </w:rPr>
              <w:t>（</w:t>
            </w:r>
            <w:r>
              <w:rPr>
                <w:rFonts w:hint="eastAsia"/>
                <w:b w:val="0"/>
                <w:bCs/>
                <w:color w:val="auto"/>
                <w:sz w:val="24"/>
                <w:lang w:val="en-US" w:eastAsia="zh-CN"/>
              </w:rPr>
              <w:t>不包括LULUCF)</w:t>
            </w:r>
          </w:p>
        </w:tc>
        <w:tc>
          <w:tcPr>
            <w:tcW w:w="762" w:type="pct"/>
            <w:vAlign w:val="center"/>
          </w:tcPr>
          <w:p w14:paraId="5CF0A0E4">
            <w:pPr>
              <w:suppressLineNumbers w:val="0"/>
              <w:spacing w:before="0" w:after="0" w:line="240" w:lineRule="auto"/>
              <w:ind w:left="0" w:right="0" w:firstLine="0" w:firstLineChars="0"/>
              <w:jc w:val="center"/>
              <w:rPr>
                <w:rFonts w:hint="default"/>
                <w:b w:val="0"/>
                <w:bCs/>
                <w:color w:val="auto"/>
                <w:sz w:val="24"/>
              </w:rPr>
            </w:pPr>
            <w:r>
              <w:rPr>
                <w:rFonts w:hint="eastAsia"/>
                <w:b w:val="0"/>
                <w:bCs/>
                <w:color w:val="auto"/>
                <w:sz w:val="24"/>
              </w:rPr>
              <w:t>污</w:t>
            </w:r>
            <w:r>
              <w:rPr>
                <w:rFonts w:hint="default"/>
                <w:b w:val="0"/>
                <w:bCs/>
                <w:color w:val="auto"/>
                <w:sz w:val="24"/>
              </w:rPr>
              <w:t>/</w:t>
            </w:r>
            <w:r>
              <w:rPr>
                <w:rFonts w:hint="eastAsia"/>
                <w:b w:val="0"/>
                <w:bCs/>
                <w:color w:val="auto"/>
                <w:sz w:val="24"/>
              </w:rPr>
              <w:t>废水处理领域排放量</w:t>
            </w:r>
          </w:p>
        </w:tc>
        <w:tc>
          <w:tcPr>
            <w:tcW w:w="765" w:type="pct"/>
            <w:vAlign w:val="center"/>
          </w:tcPr>
          <w:p w14:paraId="165941F8">
            <w:pPr>
              <w:suppressLineNumbers w:val="0"/>
              <w:spacing w:before="0" w:after="0" w:line="240" w:lineRule="auto"/>
              <w:ind w:left="0" w:right="0" w:firstLine="0" w:firstLineChars="0"/>
              <w:jc w:val="center"/>
              <w:rPr>
                <w:rFonts w:hint="default"/>
                <w:b w:val="0"/>
                <w:bCs/>
                <w:color w:val="auto"/>
                <w:sz w:val="24"/>
              </w:rPr>
            </w:pPr>
            <w:r>
              <w:rPr>
                <w:rFonts w:hint="eastAsia"/>
                <w:b w:val="0"/>
                <w:bCs/>
                <w:color w:val="auto"/>
                <w:sz w:val="24"/>
              </w:rPr>
              <w:t>污/废水处理领域占比</w:t>
            </w:r>
          </w:p>
        </w:tc>
      </w:tr>
      <w:tr w14:paraId="68D5E1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14:paraId="06F69761">
            <w:pPr>
              <w:suppressLineNumbers w:val="0"/>
              <w:spacing w:before="0" w:after="0" w:line="240" w:lineRule="auto"/>
              <w:ind w:left="0" w:right="0" w:firstLine="0" w:firstLineChars="0"/>
              <w:jc w:val="center"/>
              <w:rPr>
                <w:rFonts w:hint="default"/>
                <w:color w:val="auto"/>
                <w:sz w:val="24"/>
              </w:rPr>
            </w:pPr>
            <w:r>
              <w:rPr>
                <w:rFonts w:hint="eastAsia"/>
                <w:color w:val="auto"/>
                <w:sz w:val="24"/>
              </w:rPr>
              <w:t>2</w:t>
            </w:r>
            <w:r>
              <w:rPr>
                <w:rFonts w:hint="default"/>
                <w:color w:val="auto"/>
                <w:sz w:val="24"/>
              </w:rPr>
              <w:t>005</w:t>
            </w:r>
          </w:p>
        </w:tc>
        <w:tc>
          <w:tcPr>
            <w:tcW w:w="771" w:type="pct"/>
            <w:vAlign w:val="center"/>
          </w:tcPr>
          <w:p w14:paraId="3D1A141E">
            <w:pPr>
              <w:suppressLineNumbers w:val="0"/>
              <w:spacing w:before="0" w:after="0" w:line="240" w:lineRule="auto"/>
              <w:ind w:left="0" w:right="0" w:firstLine="0" w:firstLineChars="0"/>
              <w:jc w:val="center"/>
              <w:rPr>
                <w:rFonts w:hint="default" w:eastAsiaTheme="minorEastAsia"/>
                <w:color w:val="auto"/>
                <w:sz w:val="24"/>
                <w:lang w:val="en-US" w:eastAsia="zh-CN"/>
              </w:rPr>
            </w:pPr>
            <w:r>
              <w:rPr>
                <w:rFonts w:hint="eastAsia"/>
                <w:color w:val="auto"/>
                <w:sz w:val="24"/>
                <w:lang w:val="en-US" w:eastAsia="zh-CN"/>
              </w:rPr>
              <w:t>4683.1</w:t>
            </w:r>
          </w:p>
        </w:tc>
        <w:tc>
          <w:tcPr>
            <w:tcW w:w="762" w:type="pct"/>
            <w:vAlign w:val="center"/>
          </w:tcPr>
          <w:p w14:paraId="2C829F5D">
            <w:pPr>
              <w:suppressLineNumbers w:val="0"/>
              <w:spacing w:before="0" w:after="0" w:line="240" w:lineRule="auto"/>
              <w:ind w:left="0" w:right="0" w:firstLine="0" w:firstLineChars="0"/>
              <w:jc w:val="center"/>
              <w:rPr>
                <w:rFonts w:hint="default" w:eastAsiaTheme="minorEastAsia"/>
                <w:color w:val="auto"/>
                <w:sz w:val="24"/>
                <w:lang w:val="en-US" w:eastAsia="zh-CN"/>
              </w:rPr>
            </w:pPr>
            <w:r>
              <w:rPr>
                <w:rFonts w:hint="eastAsia"/>
                <w:color w:val="auto"/>
                <w:sz w:val="24"/>
                <w:lang w:val="en-US" w:eastAsia="zh-CN"/>
              </w:rPr>
              <w:t>175.0</w:t>
            </w:r>
          </w:p>
        </w:tc>
        <w:tc>
          <w:tcPr>
            <w:tcW w:w="763" w:type="pct"/>
            <w:vAlign w:val="center"/>
          </w:tcPr>
          <w:p w14:paraId="2A286BCF">
            <w:pPr>
              <w:suppressLineNumbers w:val="0"/>
              <w:spacing w:before="0" w:after="0" w:line="240" w:lineRule="auto"/>
              <w:ind w:left="0" w:right="0" w:firstLine="0" w:firstLineChars="0"/>
              <w:jc w:val="center"/>
              <w:rPr>
                <w:rFonts w:hint="default"/>
                <w:color w:val="auto"/>
                <w:sz w:val="24"/>
              </w:rPr>
            </w:pPr>
            <w:r>
              <w:rPr>
                <w:rFonts w:hint="default"/>
                <w:color w:val="auto"/>
                <w:sz w:val="24"/>
              </w:rPr>
              <w:t>3.</w:t>
            </w:r>
            <w:r>
              <w:rPr>
                <w:rFonts w:hint="eastAsia"/>
                <w:color w:val="auto"/>
                <w:sz w:val="24"/>
                <w:lang w:val="en-US" w:eastAsia="zh-CN"/>
              </w:rPr>
              <w:t>7</w:t>
            </w:r>
            <w:r>
              <w:rPr>
                <w:rFonts w:hint="default"/>
                <w:color w:val="auto"/>
                <w:sz w:val="24"/>
              </w:rPr>
              <w:t>%</w:t>
            </w:r>
          </w:p>
        </w:tc>
        <w:tc>
          <w:tcPr>
            <w:tcW w:w="762" w:type="pct"/>
            <w:vAlign w:val="center"/>
          </w:tcPr>
          <w:p w14:paraId="6BBCA070">
            <w:pPr>
              <w:suppressLineNumbers w:val="0"/>
              <w:spacing w:before="0" w:after="0" w:line="240" w:lineRule="auto"/>
              <w:ind w:left="0" w:right="0" w:firstLine="0" w:firstLineChars="0"/>
              <w:jc w:val="center"/>
              <w:rPr>
                <w:rFonts w:hint="default" w:eastAsiaTheme="minorEastAsia"/>
                <w:color w:val="auto"/>
                <w:sz w:val="24"/>
                <w:lang w:val="en-US" w:eastAsia="zh-CN"/>
              </w:rPr>
            </w:pPr>
            <w:r>
              <w:rPr>
                <w:rFonts w:hint="eastAsia"/>
                <w:color w:val="auto"/>
                <w:sz w:val="24"/>
                <w:lang w:val="en-US" w:eastAsia="zh-CN"/>
              </w:rPr>
              <w:t>144</w:t>
            </w:r>
          </w:p>
        </w:tc>
        <w:tc>
          <w:tcPr>
            <w:tcW w:w="762" w:type="pct"/>
            <w:vAlign w:val="center"/>
          </w:tcPr>
          <w:p w14:paraId="3E63EA64">
            <w:pPr>
              <w:suppressLineNumbers w:val="0"/>
              <w:spacing w:before="0" w:after="0" w:line="240" w:lineRule="auto"/>
              <w:ind w:left="0" w:right="0" w:firstLine="0" w:firstLineChars="0"/>
              <w:jc w:val="center"/>
              <w:rPr>
                <w:rFonts w:hint="default" w:eastAsiaTheme="minorEastAsia"/>
                <w:color w:val="auto"/>
                <w:sz w:val="24"/>
                <w:lang w:val="en-US" w:eastAsia="zh-CN"/>
              </w:rPr>
            </w:pPr>
            <w:r>
              <w:rPr>
                <w:rFonts w:hint="eastAsia"/>
                <w:color w:val="auto"/>
                <w:sz w:val="24"/>
                <w:lang w:val="en-US" w:eastAsia="zh-CN"/>
              </w:rPr>
              <w:t>8.9</w:t>
            </w:r>
          </w:p>
        </w:tc>
        <w:tc>
          <w:tcPr>
            <w:tcW w:w="765" w:type="pct"/>
            <w:vAlign w:val="center"/>
          </w:tcPr>
          <w:p w14:paraId="1A23C1FE">
            <w:pPr>
              <w:suppressLineNumbers w:val="0"/>
              <w:spacing w:before="0" w:after="0" w:line="240" w:lineRule="auto"/>
              <w:ind w:left="0" w:right="0" w:firstLine="0" w:firstLineChars="0"/>
              <w:jc w:val="center"/>
              <w:rPr>
                <w:rFonts w:hint="default"/>
                <w:color w:val="auto"/>
                <w:sz w:val="24"/>
              </w:rPr>
            </w:pPr>
            <w:r>
              <w:rPr>
                <w:rFonts w:hint="eastAsia"/>
                <w:color w:val="auto"/>
                <w:sz w:val="24"/>
                <w:lang w:val="en-US" w:eastAsia="zh-CN"/>
              </w:rPr>
              <w:t>6.2</w:t>
            </w:r>
            <w:r>
              <w:rPr>
                <w:rFonts w:hint="default"/>
                <w:color w:val="auto"/>
                <w:sz w:val="24"/>
              </w:rPr>
              <w:t>%</w:t>
            </w:r>
          </w:p>
        </w:tc>
      </w:tr>
      <w:tr w14:paraId="7F3852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14:paraId="15801962">
            <w:pPr>
              <w:suppressLineNumbers w:val="0"/>
              <w:spacing w:before="0" w:after="0" w:line="240" w:lineRule="auto"/>
              <w:ind w:left="0" w:right="0" w:firstLine="0" w:firstLineChars="0"/>
              <w:jc w:val="center"/>
              <w:rPr>
                <w:rFonts w:hint="default" w:eastAsiaTheme="minorEastAsia"/>
                <w:color w:val="auto"/>
                <w:sz w:val="24"/>
                <w:lang w:val="en-US" w:eastAsia="zh-CN"/>
              </w:rPr>
            </w:pPr>
            <w:r>
              <w:rPr>
                <w:rFonts w:hint="eastAsia"/>
                <w:color w:val="auto"/>
                <w:sz w:val="24"/>
                <w:lang w:val="en-US" w:eastAsia="zh-CN"/>
              </w:rPr>
              <w:t>2020</w:t>
            </w:r>
          </w:p>
        </w:tc>
        <w:tc>
          <w:tcPr>
            <w:tcW w:w="771" w:type="pct"/>
            <w:vAlign w:val="center"/>
          </w:tcPr>
          <w:p w14:paraId="372C658E">
            <w:pPr>
              <w:suppressLineNumbers w:val="0"/>
              <w:spacing w:before="0" w:after="0" w:line="240" w:lineRule="auto"/>
              <w:ind w:left="0" w:right="0" w:firstLine="0" w:firstLineChars="0"/>
              <w:jc w:val="center"/>
              <w:rPr>
                <w:rFonts w:hint="default" w:eastAsiaTheme="minorEastAsia"/>
                <w:color w:val="auto"/>
                <w:sz w:val="24"/>
                <w:lang w:val="en-US" w:eastAsia="zh-CN"/>
              </w:rPr>
            </w:pPr>
            <w:r>
              <w:rPr>
                <w:rFonts w:hint="eastAsia"/>
                <w:color w:val="auto"/>
                <w:sz w:val="24"/>
                <w:lang w:val="en-US" w:eastAsia="zh-CN"/>
              </w:rPr>
              <w:t>5902.8</w:t>
            </w:r>
          </w:p>
        </w:tc>
        <w:tc>
          <w:tcPr>
            <w:tcW w:w="762" w:type="pct"/>
            <w:vAlign w:val="center"/>
          </w:tcPr>
          <w:p w14:paraId="69A0AB84">
            <w:pPr>
              <w:suppressLineNumbers w:val="0"/>
              <w:spacing w:before="0" w:after="0" w:line="240" w:lineRule="auto"/>
              <w:ind w:left="0" w:right="0" w:firstLine="0" w:firstLineChars="0"/>
              <w:jc w:val="center"/>
              <w:rPr>
                <w:rFonts w:hint="default" w:eastAsiaTheme="minorEastAsia"/>
                <w:color w:val="auto"/>
                <w:sz w:val="24"/>
                <w:lang w:val="en-US" w:eastAsia="zh-CN"/>
              </w:rPr>
            </w:pPr>
            <w:r>
              <w:rPr>
                <w:rFonts w:hint="eastAsia"/>
                <w:color w:val="auto"/>
                <w:sz w:val="24"/>
                <w:lang w:val="en-US" w:eastAsia="zh-CN"/>
              </w:rPr>
              <w:t>228.0</w:t>
            </w:r>
          </w:p>
        </w:tc>
        <w:tc>
          <w:tcPr>
            <w:tcW w:w="763" w:type="pct"/>
            <w:vAlign w:val="center"/>
          </w:tcPr>
          <w:p w14:paraId="47561EE1">
            <w:pPr>
              <w:suppressLineNumbers w:val="0"/>
              <w:spacing w:before="0" w:after="0" w:line="240" w:lineRule="auto"/>
              <w:ind w:left="0" w:right="0" w:firstLine="0" w:firstLineChars="0"/>
              <w:jc w:val="center"/>
              <w:rPr>
                <w:rFonts w:hint="default"/>
                <w:color w:val="auto"/>
                <w:sz w:val="24"/>
              </w:rPr>
            </w:pPr>
            <w:r>
              <w:rPr>
                <w:rFonts w:hint="default"/>
                <w:color w:val="auto"/>
                <w:sz w:val="24"/>
              </w:rPr>
              <w:t>3.</w:t>
            </w:r>
            <w:r>
              <w:rPr>
                <w:rFonts w:hint="eastAsia"/>
                <w:color w:val="auto"/>
                <w:sz w:val="24"/>
                <w:lang w:val="en-US" w:eastAsia="zh-CN"/>
              </w:rPr>
              <w:t>8</w:t>
            </w:r>
            <w:r>
              <w:rPr>
                <w:rFonts w:hint="default"/>
                <w:color w:val="auto"/>
                <w:sz w:val="24"/>
              </w:rPr>
              <w:t>%</w:t>
            </w:r>
          </w:p>
        </w:tc>
        <w:tc>
          <w:tcPr>
            <w:tcW w:w="762" w:type="pct"/>
            <w:vAlign w:val="center"/>
          </w:tcPr>
          <w:p w14:paraId="17D91C64">
            <w:pPr>
              <w:suppressLineNumbers w:val="0"/>
              <w:spacing w:before="0" w:after="0" w:line="240" w:lineRule="auto"/>
              <w:ind w:left="0" w:right="0" w:firstLine="0" w:firstLineChars="0"/>
              <w:jc w:val="center"/>
              <w:rPr>
                <w:rFonts w:hint="default" w:eastAsiaTheme="minorEastAsia"/>
                <w:color w:val="auto"/>
                <w:sz w:val="24"/>
                <w:lang w:val="en-US" w:eastAsia="zh-CN"/>
              </w:rPr>
            </w:pPr>
            <w:r>
              <w:rPr>
                <w:rFonts w:hint="eastAsia"/>
                <w:color w:val="auto"/>
                <w:sz w:val="24"/>
                <w:lang w:val="en-US" w:eastAsia="zh-CN"/>
              </w:rPr>
              <w:t>197.9</w:t>
            </w:r>
          </w:p>
        </w:tc>
        <w:tc>
          <w:tcPr>
            <w:tcW w:w="762" w:type="pct"/>
            <w:vAlign w:val="center"/>
          </w:tcPr>
          <w:p w14:paraId="40C1E394">
            <w:pPr>
              <w:suppressLineNumbers w:val="0"/>
              <w:spacing w:before="0" w:after="0" w:line="240" w:lineRule="auto"/>
              <w:ind w:left="0" w:right="0" w:firstLine="0" w:firstLineChars="0"/>
              <w:jc w:val="center"/>
              <w:rPr>
                <w:rFonts w:hint="default" w:eastAsiaTheme="minorEastAsia"/>
                <w:color w:val="auto"/>
                <w:sz w:val="24"/>
                <w:lang w:val="en-US" w:eastAsia="zh-CN"/>
              </w:rPr>
            </w:pPr>
            <w:r>
              <w:rPr>
                <w:rFonts w:hint="eastAsia"/>
                <w:color w:val="auto"/>
                <w:sz w:val="24"/>
                <w:lang w:val="en-US" w:eastAsia="zh-CN"/>
              </w:rPr>
              <w:t>8.8</w:t>
            </w:r>
          </w:p>
        </w:tc>
        <w:tc>
          <w:tcPr>
            <w:tcW w:w="765" w:type="pct"/>
            <w:vAlign w:val="center"/>
          </w:tcPr>
          <w:p w14:paraId="6E029FAE">
            <w:pPr>
              <w:suppressLineNumbers w:val="0"/>
              <w:spacing w:before="0" w:after="0" w:line="240" w:lineRule="auto"/>
              <w:ind w:left="0" w:right="0" w:firstLine="0" w:firstLineChars="0"/>
              <w:jc w:val="center"/>
              <w:rPr>
                <w:rFonts w:hint="default"/>
                <w:color w:val="auto"/>
                <w:sz w:val="24"/>
              </w:rPr>
            </w:pPr>
            <w:r>
              <w:rPr>
                <w:rFonts w:hint="eastAsia"/>
                <w:color w:val="auto"/>
                <w:sz w:val="24"/>
                <w:lang w:val="en-US" w:eastAsia="zh-CN"/>
              </w:rPr>
              <w:t>4.4</w:t>
            </w:r>
            <w:r>
              <w:rPr>
                <w:rFonts w:hint="default"/>
                <w:color w:val="auto"/>
                <w:sz w:val="24"/>
              </w:rPr>
              <w:t>%</w:t>
            </w:r>
          </w:p>
        </w:tc>
      </w:tr>
      <w:tr w14:paraId="55CA30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412" w:type="pct"/>
            <w:vAlign w:val="center"/>
          </w:tcPr>
          <w:p w14:paraId="22C8B0DA">
            <w:pPr>
              <w:suppressLineNumbers w:val="0"/>
              <w:spacing w:before="0" w:after="0" w:line="240" w:lineRule="auto"/>
              <w:ind w:left="0" w:right="0" w:firstLine="0" w:firstLineChars="0"/>
              <w:jc w:val="center"/>
              <w:rPr>
                <w:rFonts w:hint="default" w:eastAsiaTheme="minorEastAsia"/>
                <w:color w:val="auto"/>
                <w:sz w:val="24"/>
                <w:lang w:val="en-US" w:eastAsia="zh-CN"/>
              </w:rPr>
            </w:pPr>
            <w:r>
              <w:rPr>
                <w:rFonts w:hint="eastAsia"/>
                <w:color w:val="auto"/>
                <w:sz w:val="24"/>
                <w:lang w:val="en-US" w:eastAsia="zh-CN"/>
              </w:rPr>
              <w:t>2021</w:t>
            </w:r>
          </w:p>
        </w:tc>
        <w:tc>
          <w:tcPr>
            <w:tcW w:w="771" w:type="pct"/>
            <w:vAlign w:val="center"/>
          </w:tcPr>
          <w:p w14:paraId="213F9D86">
            <w:pPr>
              <w:suppressLineNumbers w:val="0"/>
              <w:spacing w:before="0" w:after="0" w:line="240" w:lineRule="auto"/>
              <w:ind w:left="0" w:right="0" w:firstLine="0" w:firstLineChars="0"/>
              <w:jc w:val="center"/>
              <w:rPr>
                <w:rFonts w:hint="default" w:eastAsiaTheme="minorEastAsia"/>
                <w:color w:val="auto"/>
                <w:sz w:val="24"/>
                <w:lang w:val="en-US" w:eastAsia="zh-CN"/>
              </w:rPr>
            </w:pPr>
            <w:r>
              <w:rPr>
                <w:rFonts w:hint="eastAsia"/>
                <w:color w:val="auto"/>
                <w:sz w:val="24"/>
                <w:lang w:val="en-US" w:eastAsia="zh-CN"/>
              </w:rPr>
              <w:t>5953.5</w:t>
            </w:r>
          </w:p>
        </w:tc>
        <w:tc>
          <w:tcPr>
            <w:tcW w:w="762" w:type="pct"/>
            <w:vAlign w:val="center"/>
          </w:tcPr>
          <w:p w14:paraId="51D3A8C5">
            <w:pPr>
              <w:suppressLineNumbers w:val="0"/>
              <w:spacing w:before="0" w:after="0" w:line="240" w:lineRule="auto"/>
              <w:ind w:left="0" w:right="0" w:firstLine="0" w:firstLineChars="0"/>
              <w:jc w:val="center"/>
              <w:rPr>
                <w:rFonts w:hint="default" w:eastAsiaTheme="minorEastAsia"/>
                <w:color w:val="auto"/>
                <w:sz w:val="24"/>
                <w:lang w:val="en-US" w:eastAsia="zh-CN"/>
              </w:rPr>
            </w:pPr>
            <w:r>
              <w:rPr>
                <w:rFonts w:hint="eastAsia"/>
                <w:color w:val="auto"/>
                <w:sz w:val="24"/>
                <w:lang w:val="en-US" w:eastAsia="zh-CN"/>
              </w:rPr>
              <w:t>229.7</w:t>
            </w:r>
          </w:p>
        </w:tc>
        <w:tc>
          <w:tcPr>
            <w:tcW w:w="763" w:type="pct"/>
            <w:vAlign w:val="center"/>
          </w:tcPr>
          <w:p w14:paraId="4F44BFC5">
            <w:pPr>
              <w:suppressLineNumbers w:val="0"/>
              <w:spacing w:before="0" w:after="0" w:line="240" w:lineRule="auto"/>
              <w:ind w:left="0" w:right="0" w:firstLine="0" w:firstLineChars="0"/>
              <w:jc w:val="center"/>
              <w:rPr>
                <w:rFonts w:hint="default"/>
                <w:color w:val="auto"/>
                <w:sz w:val="24"/>
              </w:rPr>
            </w:pPr>
            <w:r>
              <w:rPr>
                <w:rFonts w:hint="default"/>
                <w:color w:val="auto"/>
                <w:sz w:val="24"/>
              </w:rPr>
              <w:t>3.</w:t>
            </w:r>
            <w:r>
              <w:rPr>
                <w:rFonts w:hint="eastAsia"/>
                <w:color w:val="auto"/>
                <w:sz w:val="24"/>
                <w:lang w:val="en-US" w:eastAsia="zh-CN"/>
              </w:rPr>
              <w:t>9</w:t>
            </w:r>
            <w:r>
              <w:rPr>
                <w:rFonts w:hint="default"/>
                <w:color w:val="auto"/>
                <w:sz w:val="24"/>
              </w:rPr>
              <w:t>%</w:t>
            </w:r>
          </w:p>
        </w:tc>
        <w:tc>
          <w:tcPr>
            <w:tcW w:w="762" w:type="pct"/>
            <w:vAlign w:val="center"/>
          </w:tcPr>
          <w:p w14:paraId="7ED7B4EC">
            <w:pPr>
              <w:suppressLineNumbers w:val="0"/>
              <w:spacing w:before="0" w:after="0" w:line="240" w:lineRule="auto"/>
              <w:ind w:left="0" w:right="0" w:firstLine="0" w:firstLineChars="0"/>
              <w:jc w:val="center"/>
              <w:rPr>
                <w:rFonts w:hint="default" w:eastAsiaTheme="minorEastAsia"/>
                <w:color w:val="auto"/>
                <w:sz w:val="24"/>
                <w:lang w:val="en-US" w:eastAsia="zh-CN"/>
              </w:rPr>
            </w:pPr>
            <w:r>
              <w:rPr>
                <w:rFonts w:hint="eastAsia"/>
                <w:color w:val="auto"/>
                <w:sz w:val="24"/>
                <w:lang w:val="en-US" w:eastAsia="zh-CN"/>
              </w:rPr>
              <w:t>210.2</w:t>
            </w:r>
          </w:p>
        </w:tc>
        <w:tc>
          <w:tcPr>
            <w:tcW w:w="762" w:type="pct"/>
            <w:vAlign w:val="center"/>
          </w:tcPr>
          <w:p w14:paraId="3E99E67C">
            <w:pPr>
              <w:suppressLineNumbers w:val="0"/>
              <w:spacing w:before="0" w:after="0" w:line="240" w:lineRule="auto"/>
              <w:ind w:left="0" w:right="0" w:firstLine="0" w:firstLineChars="0"/>
              <w:jc w:val="center"/>
              <w:rPr>
                <w:rFonts w:hint="default" w:eastAsiaTheme="minorEastAsia"/>
                <w:color w:val="auto"/>
                <w:sz w:val="24"/>
                <w:lang w:val="en-US" w:eastAsia="zh-CN"/>
              </w:rPr>
            </w:pPr>
            <w:r>
              <w:rPr>
                <w:rFonts w:hint="eastAsia"/>
                <w:color w:val="auto"/>
                <w:sz w:val="24"/>
                <w:lang w:val="en-US" w:eastAsia="zh-CN"/>
              </w:rPr>
              <w:t>8.8</w:t>
            </w:r>
          </w:p>
        </w:tc>
        <w:tc>
          <w:tcPr>
            <w:tcW w:w="765" w:type="pct"/>
            <w:vAlign w:val="center"/>
          </w:tcPr>
          <w:p w14:paraId="104354A9">
            <w:pPr>
              <w:suppressLineNumbers w:val="0"/>
              <w:spacing w:before="0" w:after="0" w:line="240" w:lineRule="auto"/>
              <w:ind w:left="0" w:right="0" w:firstLine="0" w:firstLineChars="0"/>
              <w:jc w:val="center"/>
              <w:rPr>
                <w:rFonts w:hint="default"/>
                <w:color w:val="auto"/>
                <w:sz w:val="24"/>
              </w:rPr>
            </w:pPr>
            <w:r>
              <w:rPr>
                <w:rFonts w:hint="eastAsia"/>
                <w:color w:val="auto"/>
                <w:sz w:val="24"/>
                <w:lang w:val="en-US" w:eastAsia="zh-CN"/>
              </w:rPr>
              <w:t>4.2</w:t>
            </w:r>
            <w:r>
              <w:rPr>
                <w:rFonts w:hint="default"/>
                <w:color w:val="auto"/>
                <w:sz w:val="24"/>
              </w:rPr>
              <w:t>%</w:t>
            </w:r>
          </w:p>
        </w:tc>
      </w:tr>
    </w:tbl>
    <w:p w14:paraId="1E3BDFF3">
      <w:pPr>
        <w:keepNext w:val="0"/>
        <w:keepLines w:val="0"/>
        <w:pageBreakBefore w:val="0"/>
        <w:widowControl w:val="0"/>
        <w:kinsoku/>
        <w:wordWrap/>
        <w:overflowPunct/>
        <w:topLinePunct w:val="0"/>
        <w:autoSpaceDE/>
        <w:autoSpaceDN/>
        <w:bidi w:val="0"/>
        <w:adjustRightInd/>
        <w:snapToGrid/>
        <w:spacing w:line="240" w:lineRule="auto"/>
        <w:ind w:firstLine="0" w:firstLineChars="0"/>
        <w:jc w:val="left"/>
        <w:textAlignment w:val="auto"/>
        <w:rPr>
          <w:rFonts w:hint="eastAsia"/>
          <w:b w:val="0"/>
          <w:bCs/>
          <w:color w:val="auto"/>
          <w:sz w:val="21"/>
          <w:szCs w:val="21"/>
        </w:rPr>
      </w:pPr>
      <w:r>
        <w:rPr>
          <w:rFonts w:hint="eastAsia"/>
          <w:b w:val="0"/>
          <w:bCs/>
          <w:color w:val="auto"/>
          <w:sz w:val="21"/>
          <w:szCs w:val="21"/>
        </w:rPr>
        <w:t>注：表格数据来</w:t>
      </w:r>
      <w:r>
        <w:rPr>
          <w:rFonts w:hint="eastAsia"/>
          <w:b w:val="0"/>
          <w:bCs/>
          <w:color w:val="auto"/>
          <w:sz w:val="21"/>
          <w:szCs w:val="21"/>
          <w:lang w:val="en-US" w:eastAsia="zh-CN"/>
        </w:rPr>
        <w:t>自</w:t>
      </w:r>
      <w:r>
        <w:rPr>
          <w:rFonts w:hint="eastAsia"/>
          <w:b w:val="0"/>
          <w:bCs/>
          <w:color w:val="auto"/>
          <w:sz w:val="21"/>
          <w:szCs w:val="21"/>
        </w:rPr>
        <w:t>《中华人民共和国</w:t>
      </w:r>
      <w:r>
        <w:rPr>
          <w:rFonts w:hint="eastAsia"/>
          <w:b w:val="0"/>
          <w:bCs/>
          <w:color w:val="auto"/>
          <w:sz w:val="21"/>
          <w:szCs w:val="21"/>
          <w:lang w:val="en-US" w:eastAsia="zh-CN"/>
        </w:rPr>
        <w:t>气候变化第一次双年透明度报告</w:t>
      </w:r>
      <w:r>
        <w:rPr>
          <w:rFonts w:hint="eastAsia"/>
          <w:b w:val="0"/>
          <w:bCs/>
          <w:color w:val="auto"/>
          <w:sz w:val="21"/>
          <w:szCs w:val="21"/>
        </w:rPr>
        <w:t>》</w:t>
      </w:r>
    </w:p>
    <w:p w14:paraId="062D7DC6">
      <w:pPr>
        <w:pStyle w:val="110"/>
        <w:bidi w:val="0"/>
      </w:pPr>
      <w:bookmarkStart w:id="28" w:name="_Toc16540"/>
      <w:r>
        <w:rPr>
          <w:rFonts w:hint="eastAsia"/>
        </w:rPr>
        <w:t>政策标准梳理</w:t>
      </w:r>
      <w:bookmarkEnd w:id="28"/>
      <w:r>
        <w:rPr>
          <w:rFonts w:hint="eastAsia"/>
        </w:rPr>
        <w:t xml:space="preserve"> </w:t>
      </w:r>
    </w:p>
    <w:p w14:paraId="079D35F4">
      <w:pPr>
        <w:bidi w:val="0"/>
      </w:pPr>
      <w:r>
        <w:t>随着全球气候变化问题日益严峻，污水处理领域的温室气体排放控制成为环境保护的重要议题。污水处理过程中产生的温室气体，如甲烷和氧化亚氮，对环境造成显著影响。</w:t>
      </w:r>
      <w:r>
        <w:rPr>
          <w:rFonts w:hint="eastAsia"/>
        </w:rPr>
        <w:t>科学</w:t>
      </w:r>
      <w:r>
        <w:t>开展</w:t>
      </w:r>
      <w:r>
        <w:rPr>
          <w:rFonts w:hint="eastAsia"/>
        </w:rPr>
        <w:t>我国</w:t>
      </w:r>
      <w:r>
        <w:t>污水处理行业温室气体</w:t>
      </w:r>
      <w:r>
        <w:rPr>
          <w:rFonts w:hint="eastAsia"/>
        </w:rPr>
        <w:t>核算工作</w:t>
      </w:r>
      <w:r>
        <w:t>对于实现</w:t>
      </w:r>
      <w:r>
        <w:rPr>
          <w:rFonts w:hint="eastAsia"/>
          <w:lang w:val="en-US" w:eastAsia="zh-CN"/>
        </w:rPr>
        <w:t>污</w:t>
      </w:r>
      <w:r>
        <w:t>水</w:t>
      </w:r>
      <w:r>
        <w:rPr>
          <w:rFonts w:hint="eastAsia"/>
          <w:lang w:val="en-US" w:eastAsia="zh-CN"/>
        </w:rPr>
        <w:t>处理行业</w:t>
      </w:r>
      <w:r>
        <w:t>污染物与温室气体</w:t>
      </w:r>
      <w:r>
        <w:rPr>
          <w:rFonts w:hint="eastAsia"/>
          <w:lang w:val="en-US" w:eastAsia="zh-CN"/>
        </w:rPr>
        <w:t>的</w:t>
      </w:r>
      <w:r>
        <w:t>协同控制至关重要。</w:t>
      </w:r>
    </w:p>
    <w:p w14:paraId="354D1149">
      <w:pPr>
        <w:bidi w:val="0"/>
      </w:pPr>
      <w:r>
        <w:t>我国在污水处理领域的温室气体管控上采取了一系列政策和法规措施。2021年1月</w:t>
      </w:r>
      <w:r>
        <w:rPr>
          <w:rFonts w:hint="eastAsia"/>
        </w:rPr>
        <w:t>，</w:t>
      </w:r>
      <w:r>
        <w:t>《关于统筹和加强应对气候变化与生态环境保护相关工作的指导意见》提出，要强化污水、垃圾等集中处置设施环境管理，协同控制甲烷、氧化亚氮等温室气体。2021年3月，《第十四个五年规划和2035年远景目标纲要》中提到要加大甲烷等其他温室气体控制力度；2022年6月，由生态环境部联合6部委印发的《减污降碳协同增效实施方案》明确指出开展城镇污水处理和资源化利用碳排放测算，优化污水处理设施能耗和碳排放管理。2023年11月，</w:t>
      </w:r>
      <w:r>
        <w:rPr>
          <w:rFonts w:hint="eastAsia"/>
        </w:rPr>
        <w:t>生态环境部等11部门联合发布</w:t>
      </w:r>
      <w:r>
        <w:t>《甲烷排放控制行动方案》提出逐步建立甲烷排放控制政策、技术和标准体系，有效提升甲烷排放统计核算、监测监管等基础能力，并加强污水处理等重点领域甲烷收集利用。同年12月，国家发展改革委、住房城乡建设部、生态环境部联合印发的《关于推进污水处理减污降碳协同增效的实施意见》（发改环资〔2023〕1714号）提出要科学开展污水管网清淤管护，减少甲烷排放，加强高效脱氮除磷等低碳技术应用，减少脱氮过程氧化亚氮逸散，并明确了相关的支持政策和保障措施。2023年12月，《中共中央国务院关于全面推进美丽中国建设的意见》指出加快发展方式绿色转型，积极稳妥推进碳达峰碳中和，</w:t>
      </w:r>
      <w:r>
        <w:rPr>
          <w:rFonts w:hint="eastAsia"/>
          <w:lang w:val="en-US" w:eastAsia="zh-CN"/>
        </w:rPr>
        <w:t>落实《</w:t>
      </w:r>
      <w:r>
        <w:t>甲烷排放控制行动方案</w:t>
      </w:r>
      <w:r>
        <w:rPr>
          <w:rFonts w:hint="eastAsia"/>
          <w:lang w:eastAsia="zh-CN"/>
        </w:rPr>
        <w:t>》</w:t>
      </w:r>
      <w:r>
        <w:t>，并研究制定其他非二氧化碳温室气体排放控制行动方案。此外，2024年6月，与本标准同步启动的《协同降碳绩效评价 城镇污水处理》国家标准，为污水处理系统的碳减排工作明确了发展方向，将进一步推动污水处理行业向绿色低碳和高质量发展目标迈进。</w:t>
      </w:r>
    </w:p>
    <w:p w14:paraId="53616CFD">
      <w:pPr>
        <w:bidi w:val="0"/>
      </w:pPr>
      <w:r>
        <w:t>目前，我国共有65项现行国家水污染物排放标准，其中《城镇污水处理厂污染物排放标准》（GB 18918-2002）和《医疗机构水污染物排放标准》（GB 18466-2005）2项标准，规定了厂界空气中甲烷的控制要求，尚无相关标准对氧化亚氮的排放提出管控要求。</w:t>
      </w:r>
    </w:p>
    <w:p w14:paraId="128EE23D">
      <w:pPr>
        <w:bidi w:val="0"/>
      </w:pPr>
      <w:r>
        <w:t>总体而言，我国污水处理领域的温室气体管控政策与法规框架已初步形成，并处于持续优化和完善的过程中。这些政策和法规不仅为污水处理行业实现减污降碳协同增效提供了坚实的法律依据，也为行业绿色转型和可持续发展指明了行动方向。</w:t>
      </w:r>
    </w:p>
    <w:p w14:paraId="016C6115">
      <w:pPr>
        <w:pStyle w:val="110"/>
        <w:rPr>
          <w:rFonts w:eastAsia="宋体" w:cs="Times New Roman"/>
          <w:color w:val="auto"/>
        </w:rPr>
      </w:pPr>
      <w:bookmarkStart w:id="29" w:name="_Toc5106"/>
      <w:r>
        <w:rPr>
          <w:rFonts w:hint="eastAsia"/>
          <w:color w:val="auto"/>
        </w:rPr>
        <w:t>任务来源</w:t>
      </w:r>
      <w:bookmarkEnd w:id="29"/>
    </w:p>
    <w:p w14:paraId="077EC445">
      <w:pPr>
        <w:bidi w:val="0"/>
      </w:pPr>
      <w:r>
        <w:rPr>
          <w:rFonts w:hint="eastAsia"/>
        </w:rPr>
        <w:t>2023年12月6日国家标准化管理委员会下达关于2023年第三批推荐性国家标准计划的编制任务，《温室气体排放核算与报告要求第XX部分：生活污水处理企业》正式立项。</w:t>
      </w:r>
    </w:p>
    <w:p w14:paraId="5516F91D">
      <w:pPr>
        <w:pStyle w:val="110"/>
        <w:rPr>
          <w:color w:val="auto"/>
        </w:rPr>
      </w:pPr>
      <w:bookmarkStart w:id="30" w:name="_Toc4338"/>
      <w:r>
        <w:rPr>
          <w:rFonts w:hint="eastAsia"/>
          <w:color w:val="auto"/>
        </w:rPr>
        <w:t>主要工作过程</w:t>
      </w:r>
      <w:bookmarkEnd w:id="30"/>
    </w:p>
    <w:p w14:paraId="19775FD1">
      <w:pPr>
        <w:bidi w:val="0"/>
        <w:rPr>
          <w:rFonts w:hint="eastAsia"/>
        </w:rPr>
      </w:pPr>
      <w:r>
        <w:rPr>
          <w:rFonts w:hint="eastAsia"/>
          <w:lang w:val="en-US" w:eastAsia="zh-CN"/>
        </w:rPr>
        <w:t>2024年5月20日，中国环境科学研究院与中国标准化研究院联合在北京召开了《温室气体排放核算与报告要求第XX部分：生活污水处理企业》（以下简称《标准》）启动会，正式拉开了标准编制工作的帷幕。</w:t>
      </w:r>
    </w:p>
    <w:p w14:paraId="2A5A532F">
      <w:pPr>
        <w:bidi w:val="0"/>
        <w:rPr>
          <w:rFonts w:hint="eastAsia"/>
        </w:rPr>
      </w:pPr>
      <w:r>
        <w:rPr>
          <w:rFonts w:hint="eastAsia"/>
          <w:lang w:val="en-US" w:eastAsia="zh-CN"/>
        </w:rPr>
        <w:t>2024年6月28日，编制组组织召开线上任务分工会议，将《标准》及编制说明的主要内容细分为七个任务板块，明确各参编单位的职责，确保各方协同推进标准编制工作。</w:t>
      </w:r>
    </w:p>
    <w:p w14:paraId="4AC1C234">
      <w:pPr>
        <w:bidi w:val="0"/>
        <w:rPr>
          <w:rFonts w:hint="eastAsia"/>
        </w:rPr>
      </w:pPr>
      <w:r>
        <w:rPr>
          <w:rFonts w:hint="eastAsia"/>
          <w:lang w:val="en-US" w:eastAsia="zh-CN"/>
        </w:rPr>
        <w:t>2024年7月13日，中国环境科学研究院、中国标准化研究院、上海市环境科学研究院和北京城市排水集团代表在北京就各自牵头任务的编制进展情况进行汇报。清华大学梁鹏教授、哈尔滨工业大学王秀蘅教授、华东理工大学邱恺培教授以及北控水务吴云生总工等与会专家围绕相关问题展开研讨，对《标准》重点问题的解决思路达成共识，为后续工作的顺利开展奠定了坚实基础。</w:t>
      </w:r>
    </w:p>
    <w:p w14:paraId="5377B724">
      <w:pPr>
        <w:bidi w:val="0"/>
        <w:rPr>
          <w:rFonts w:hint="eastAsia"/>
        </w:rPr>
      </w:pPr>
      <w:r>
        <w:rPr>
          <w:rFonts w:hint="eastAsia"/>
          <w:lang w:val="en-US" w:eastAsia="zh-CN"/>
        </w:rPr>
        <w:t>2024年7月19日，排放因子工作任务组召开研讨会，北京排水集团、清华大学、中国环境科学研究院、同济大学、华东理工大学、中国市政工程中南设计研究总院、上海城投污水处理有限公司、爱森（中国）絮凝剂有限公司等单位代表参会。会议就工作任务分工进行深入讨论，并明确了编制工作要求及关键时间节点，确保各项工作有序推进。</w:t>
      </w:r>
    </w:p>
    <w:p w14:paraId="00D5C8E7">
      <w:pPr>
        <w:bidi w:val="0"/>
        <w:rPr>
          <w:rFonts w:hint="eastAsia"/>
        </w:rPr>
      </w:pPr>
      <w:r>
        <w:rPr>
          <w:rFonts w:hint="eastAsia"/>
          <w:lang w:val="en-US" w:eastAsia="zh-CN"/>
        </w:rPr>
        <w:t>2024年7月至8月期间，上海市环境科学研究院针对核算方法的主体内容，多次与任务内单位及其他工作小组开展讨论，完成核算步骤章节初稿。</w:t>
      </w:r>
    </w:p>
    <w:p w14:paraId="4892CCB4">
      <w:pPr>
        <w:bidi w:val="0"/>
        <w:rPr>
          <w:rFonts w:hint="eastAsia"/>
        </w:rPr>
      </w:pPr>
      <w:r>
        <w:rPr>
          <w:rFonts w:hint="eastAsia"/>
          <w:lang w:val="en-US" w:eastAsia="zh-CN"/>
        </w:rPr>
        <w:t>2024年9月，核算步骤（上海环境科学研究院牵头）、排放因子（北京城市排水集团与清华大学牵头）、行业发展与温室气体排放现状（北控水务牵头）、计量与监检测要求（华东理工大学完成牵头）、标准编制说明（同济大学牵头）等章节初稿相继完成。中国环境科学研究院与中国标准化研究院对各部分内容进行整合、补充与完善后，邀请哈尔滨工业大学王秀蘅教授与同济大学戴若彬教授分别对《标准》与编制说明文本进行审阅，形成内部讨论稿。</w:t>
      </w:r>
    </w:p>
    <w:p w14:paraId="69EA2C18">
      <w:pPr>
        <w:bidi w:val="0"/>
        <w:rPr>
          <w:rFonts w:hint="eastAsia"/>
        </w:rPr>
      </w:pPr>
      <w:r>
        <w:rPr>
          <w:rFonts w:hint="eastAsia"/>
          <w:lang w:val="en-US" w:eastAsia="zh-CN"/>
        </w:rPr>
        <w:t>2024年9月29日，编制组针对讨论稿中存在的主要技术问题，在北京召开研讨会，近30家单位派代表参加，生态环境部气候司刘杨副司长莅临指导，与会专家围绕初稿内容充分讨论，为后续修改完善提出意见和建议。</w:t>
      </w:r>
    </w:p>
    <w:p w14:paraId="49181C36">
      <w:pPr>
        <w:bidi w:val="0"/>
        <w:rPr>
          <w:rFonts w:hint="default"/>
          <w:lang w:val="en-US"/>
        </w:rPr>
      </w:pPr>
      <w:r>
        <w:rPr>
          <w:rFonts w:hint="eastAsia"/>
          <w:lang w:val="en-US" w:eastAsia="zh-CN"/>
        </w:rPr>
        <w:t>2024年10月至12月，标准编制组聚焦重点问题，集中力量开展攻关研究，反复讨论并征求专家意见。形成《标准》的征求意见稿初稿及其编制说明，并征求参编单位意见。</w:t>
      </w:r>
    </w:p>
    <w:p w14:paraId="2710CBAE">
      <w:pPr>
        <w:bidi w:val="0"/>
        <w:rPr>
          <w:rFonts w:hint="default"/>
          <w:lang w:val="en-US" w:eastAsia="zh-CN"/>
        </w:rPr>
      </w:pPr>
      <w:r>
        <w:rPr>
          <w:rFonts w:hint="eastAsia"/>
          <w:lang w:val="en-US" w:eastAsia="zh-CN"/>
        </w:rPr>
        <w:t>2025年2月，中国环境科学研究院与中国标准化研究院在线上召开研讨会，针对稿件重点问题的处理和修改思路进行汇报和研讨。《标准》的征求意见稿及其编制说明修改完成。</w:t>
      </w:r>
    </w:p>
    <w:p w14:paraId="404C36CD">
      <w:pPr>
        <w:pStyle w:val="110"/>
        <w:rPr>
          <w:color w:val="auto"/>
          <w:kern w:val="2"/>
          <w:sz w:val="28"/>
          <w:szCs w:val="28"/>
          <w:highlight w:val="none"/>
        </w:rPr>
      </w:pPr>
      <w:bookmarkStart w:id="31" w:name="_Toc8920"/>
      <w:r>
        <w:rPr>
          <w:rFonts w:hint="eastAsia"/>
          <w:color w:val="auto"/>
          <w:highlight w:val="none"/>
          <w:lang w:val="en-US" w:eastAsia="zh-CN"/>
        </w:rPr>
        <w:t>参加单位、人员及分工</w:t>
      </w:r>
      <w:bookmarkEnd w:id="31"/>
    </w:p>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p w14:paraId="58B52DB9">
      <w:pPr>
        <w:bidi w:val="0"/>
        <w:rPr>
          <w:rFonts w:hint="eastAsia"/>
          <w:lang w:val="en-US" w:eastAsia="zh-CN"/>
        </w:rPr>
      </w:pPr>
      <w:bookmarkStart w:id="32" w:name="_Toc144734165"/>
      <w:bookmarkStart w:id="33" w:name="_Toc478137540"/>
      <w:bookmarkStart w:id="34" w:name="_Toc496619160"/>
      <w:bookmarkStart w:id="35" w:name="_Toc477721643"/>
      <w:bookmarkStart w:id="36" w:name="_Toc532299450"/>
      <w:bookmarkStart w:id="37" w:name="_Toc272714092"/>
      <w:bookmarkStart w:id="38" w:name="_Toc274381357"/>
      <w:bookmarkStart w:id="39" w:name="_Toc478144344"/>
      <w:bookmarkStart w:id="40" w:name="_Toc487534951"/>
      <w:bookmarkStart w:id="41" w:name="_Toc502007234"/>
      <w:bookmarkStart w:id="42" w:name="_Toc494458249"/>
      <w:bookmarkStart w:id="43" w:name="_Toc487441038"/>
      <w:bookmarkStart w:id="44" w:name="_Toc496604890"/>
      <w:bookmarkStart w:id="45" w:name="_Toc488182194"/>
      <w:bookmarkStart w:id="46" w:name="_Toc503257972"/>
      <w:bookmarkStart w:id="47" w:name="_Toc510096633"/>
      <w:bookmarkStart w:id="48" w:name="_Toc510032505"/>
      <w:bookmarkStart w:id="49" w:name="_Toc495535163"/>
      <w:bookmarkStart w:id="50" w:name="_Toc477721830"/>
      <w:bookmarkStart w:id="51" w:name="_Toc478399393"/>
      <w:r>
        <w:rPr>
          <w:rFonts w:hint="eastAsia"/>
          <w:lang w:val="en-US" w:eastAsia="zh-CN"/>
        </w:rPr>
        <w:t>本次污水标准的编制工作由30家单位约70位专业人员共同参与，涵盖了科研机构、高校、水务企业、环保科技企业、检测机构和工程设计单位等多领域，体现了跨行业合作、专业多元和地域广泛的特点。参编人员均为污水处理及相关领域的专家和技术骨干，具有丰富的实践经验与理论基础，为标准的科学性、实用性和普适性提供了有力保障。</w:t>
      </w:r>
    </w:p>
    <w:p w14:paraId="19847C53">
      <w:pPr>
        <w:bidi w:val="0"/>
        <w:rPr>
          <w:rFonts w:hint="eastAsia" w:ascii="Times New Roman" w:hAnsi="Times New Roman" w:cs="Times New Roman"/>
          <w:lang w:val="en-US" w:eastAsia="zh-CN"/>
        </w:rPr>
      </w:pPr>
      <w:r>
        <w:rPr>
          <w:rFonts w:hint="eastAsia" w:ascii="Times New Roman" w:hAnsi="Times New Roman" w:cs="Times New Roman"/>
          <w:lang w:val="en-US" w:eastAsia="zh-CN"/>
        </w:rPr>
        <w:t>本文件的主要起草单位：中国环境科学研究院、中国标准化研究院、上海环境科学研究院、北京城市排水集团股份有限公司、长江生态环保集团有限公司、北控水务（中国）投资有限公司、上海城投污水、清华大学、同济大学、华东理工大学、哈尔滨工业大学、中国光大水务有限公司、深圳市水务（集团）有限公司、中环保水务投资有限公司、信开环境投资有限公司、上海化学工业区中法水务发展有限公司、华电水务科技股份有限公司、中国水务投资集团有限公司、北京首创生态环保集团股份有限公司、环德（福建）环保科技有限公司、中冶华天南京工程技术有限公司、中国市政工程中南设计研究总院有限公司、东莞市水务集团净水有限公司、上海城市水资源开发利用国家工程中心有限公司、中国城市规划设计研究院、陕西大胜石油工程技术服务有限公司、深圳市计量质量检测研究院、上海市政工程设计研究总院（集团）有限公司、北京科技大学、南京师范大学。</w:t>
      </w:r>
    </w:p>
    <w:p w14:paraId="2D24FD5B">
      <w:pPr>
        <w:bidi w:val="0"/>
        <w:rPr>
          <w:rFonts w:hint="eastAsia" w:ascii="Times New Roman" w:hAnsi="Times New Roman" w:cs="Times New Roman"/>
          <w:lang w:val="en-US" w:eastAsia="zh-CN"/>
        </w:rPr>
      </w:pPr>
      <w:r>
        <w:rPr>
          <w:rFonts w:hint="eastAsia" w:ascii="Times New Roman" w:hAnsi="Times New Roman" w:cs="Times New Roman"/>
          <w:lang w:val="en-US" w:eastAsia="zh-CN"/>
        </w:rPr>
        <w:t>本文件的主要起草人：刘舒乐、马占云、孙亮、张晓昕、钱晓雍、戴洁、石磊、刘垚、朱向东、张俊、刘冰玉、吴云生、王丽花、黄霞、王志伟、梁鹏、邱勇、王秀蘅、邱恺培、朱翠萍、冀滨弘、戴若彬、段亮、蔚静雯、袁芳、侯锋、王缘、周珉、陈北洋、陈汪洋、李伏京、吴学钦、薛攀、贺珊珊、杨明、张亦藜、李宏博、常菁、张海亚、高庆先、姚大伟、张涛、林静、李浙英、黎洪元、蒋红与、李爽、庄晓芳、杨晓宇、张璐晶、汤盛达、陈春玥、庞洪涛、曹效鑫、叶书荣、姜栋、龚道孝、陶相婉、陈少华、于洋、邱林清、郭恰、姚婷婷、马志同、吕永鹏、齐珺、黄政锋、程世昆、李子富、杨朕。</w:t>
      </w:r>
    </w:p>
    <w:p w14:paraId="5FFB3A1A">
      <w:pPr>
        <w:pStyle w:val="106"/>
        <w:rPr>
          <w:color w:val="auto"/>
        </w:rPr>
      </w:pPr>
      <w:bookmarkStart w:id="52" w:name="_Toc18591"/>
      <w:r>
        <w:rPr>
          <w:rFonts w:hint="eastAsia"/>
          <w:color w:val="auto"/>
        </w:rPr>
        <w:t>标准编制原则和</w:t>
      </w:r>
      <w:bookmarkEnd w:id="32"/>
      <w:r>
        <w:rPr>
          <w:rFonts w:hint="eastAsia"/>
          <w:color w:val="auto"/>
        </w:rPr>
        <w:t>主要内容</w:t>
      </w:r>
      <w:bookmarkEnd w:id="52"/>
    </w:p>
    <w:p w14:paraId="43F0F2E4">
      <w:pPr>
        <w:pStyle w:val="110"/>
        <w:rPr>
          <w:color w:val="auto"/>
        </w:rPr>
      </w:pPr>
      <w:bookmarkStart w:id="53" w:name="_Toc8785"/>
      <w:r>
        <w:rPr>
          <w:rFonts w:hint="eastAsia"/>
          <w:color w:val="auto"/>
        </w:rPr>
        <w:t>标准编制原则</w:t>
      </w:r>
      <w:bookmarkEnd w:id="53"/>
    </w:p>
    <w:p w14:paraId="478AB89A">
      <w:pPr>
        <w:spacing w:line="360" w:lineRule="auto"/>
        <w:ind w:left="560" w:leftChars="200" w:firstLine="0" w:firstLineChars="0"/>
        <w:rPr>
          <w:rFonts w:hint="eastAsia"/>
          <w:color w:val="auto"/>
          <w:szCs w:val="28"/>
          <w:lang w:val="en-US" w:eastAsia="zh-CN"/>
        </w:rPr>
      </w:pPr>
      <w:r>
        <w:rPr>
          <w:rFonts w:hint="eastAsia"/>
          <w:color w:val="auto"/>
          <w:szCs w:val="28"/>
          <w:lang w:val="en-US" w:eastAsia="zh-CN"/>
        </w:rPr>
        <w:t>本标准是首次制定。制定时遵守以下原则：</w:t>
      </w:r>
    </w:p>
    <w:p w14:paraId="7246A497">
      <w:pPr>
        <w:numPr>
          <w:ilvl w:val="0"/>
          <w:numId w:val="12"/>
        </w:numPr>
        <w:bidi w:val="0"/>
        <w:rPr>
          <w:rFonts w:hint="default"/>
          <w:lang w:val="en-US" w:eastAsia="zh-CN"/>
        </w:rPr>
      </w:pPr>
      <w:r>
        <w:rPr>
          <w:rFonts w:hint="default"/>
          <w:b/>
          <w:bCs/>
          <w:lang w:val="en-US" w:eastAsia="zh-CN"/>
        </w:rPr>
        <w:t>立足现状，引领发展：</w:t>
      </w:r>
      <w:r>
        <w:rPr>
          <w:rFonts w:hint="default"/>
          <w:lang w:val="en-US" w:eastAsia="zh-CN"/>
        </w:rPr>
        <w:t xml:space="preserve">结合我国生活污水处理企业的生产运营现状与发展需求，以先进标准为引领，推动企业提升管理水平，有效控制温室气体排放，强化绿色发展要求。  </w:t>
      </w:r>
    </w:p>
    <w:p w14:paraId="0960F673">
      <w:pPr>
        <w:numPr>
          <w:ilvl w:val="0"/>
          <w:numId w:val="12"/>
        </w:numPr>
        <w:bidi w:val="0"/>
        <w:rPr>
          <w:rFonts w:hint="default"/>
          <w:lang w:val="en-US" w:eastAsia="zh-CN"/>
        </w:rPr>
      </w:pPr>
      <w:r>
        <w:rPr>
          <w:rFonts w:hint="default"/>
          <w:b/>
          <w:bCs/>
          <w:lang w:val="en-US" w:eastAsia="zh-CN"/>
        </w:rPr>
        <w:t>协调一致，确保合规：</w:t>
      </w:r>
      <w:r>
        <w:rPr>
          <w:rFonts w:hint="default"/>
          <w:lang w:val="en-US" w:eastAsia="zh-CN"/>
        </w:rPr>
        <w:t xml:space="preserve">本标准与现行相关法律、法规、规章及标准保持协调一致，确保政策衔接顺畅，为企业提供明确的规范指引。  </w:t>
      </w:r>
    </w:p>
    <w:p w14:paraId="65C53E21">
      <w:pPr>
        <w:numPr>
          <w:ilvl w:val="0"/>
          <w:numId w:val="12"/>
        </w:numPr>
        <w:bidi w:val="0"/>
        <w:rPr>
          <w:rFonts w:hint="default"/>
          <w:lang w:val="en-US" w:eastAsia="zh-CN"/>
        </w:rPr>
      </w:pPr>
      <w:r>
        <w:rPr>
          <w:rFonts w:hint="default"/>
          <w:b/>
          <w:bCs/>
          <w:lang w:val="en-US" w:eastAsia="zh-CN"/>
        </w:rPr>
        <w:t>实践导向，科学实用：</w:t>
      </w:r>
      <w:r>
        <w:rPr>
          <w:rFonts w:hint="default"/>
          <w:lang w:val="en-US" w:eastAsia="zh-CN"/>
        </w:rPr>
        <w:t xml:space="preserve">基于生活污水处理企业在温室气体排放监测与核算方面的丰富实践经验，本标准在核算边界、核算方法、数据管理及报告要求等方面力求科学合理、全面系统，并注重可操作性，便于推广应用。  </w:t>
      </w:r>
    </w:p>
    <w:p w14:paraId="3E239F8E">
      <w:pPr>
        <w:numPr>
          <w:ilvl w:val="0"/>
          <w:numId w:val="12"/>
        </w:numPr>
        <w:bidi w:val="0"/>
        <w:rPr>
          <w:rFonts w:hint="default"/>
          <w:lang w:val="en-US" w:eastAsia="zh-CN"/>
        </w:rPr>
      </w:pPr>
      <w:r>
        <w:rPr>
          <w:rFonts w:hint="default"/>
          <w:b/>
          <w:bCs/>
          <w:lang w:val="en-US" w:eastAsia="zh-CN"/>
        </w:rPr>
        <w:t>规范编写，严谨统一：</w:t>
      </w:r>
      <w:r>
        <w:rPr>
          <w:rFonts w:hint="default"/>
          <w:lang w:val="en-US" w:eastAsia="zh-CN"/>
        </w:rPr>
        <w:t>按照GB/T 1.1-2020等标准的要求，对标准的结构、格式及表达方法进行规范化编写，确保标准的严谨性和统一性。</w:t>
      </w:r>
    </w:p>
    <w:p w14:paraId="5CF74C32">
      <w:pPr>
        <w:pStyle w:val="110"/>
        <w:rPr>
          <w:color w:val="auto"/>
        </w:rPr>
      </w:pPr>
      <w:bookmarkStart w:id="54" w:name="_Toc23513"/>
      <w:r>
        <w:rPr>
          <w:rFonts w:hint="eastAsia"/>
          <w:color w:val="auto"/>
        </w:rPr>
        <w:t>标准主要内容及依据</w:t>
      </w:r>
      <w:bookmarkEnd w:id="54"/>
    </w:p>
    <w:p w14:paraId="1632F355">
      <w:pPr>
        <w:spacing w:line="360" w:lineRule="auto"/>
        <w:ind w:firstLine="560"/>
        <w:rPr>
          <w:color w:val="auto"/>
          <w:szCs w:val="28"/>
        </w:rPr>
      </w:pPr>
      <w:r>
        <w:rPr>
          <w:rFonts w:hint="eastAsia"/>
          <w:color w:val="auto"/>
          <w:szCs w:val="28"/>
        </w:rPr>
        <w:t>本标准分为</w:t>
      </w:r>
      <w:r>
        <w:rPr>
          <w:rFonts w:hint="eastAsia"/>
          <w:color w:val="auto"/>
          <w:szCs w:val="28"/>
          <w:lang w:val="en-US" w:eastAsia="zh-CN"/>
        </w:rPr>
        <w:t>8</w:t>
      </w:r>
      <w:r>
        <w:rPr>
          <w:rFonts w:hint="eastAsia"/>
          <w:color w:val="auto"/>
          <w:szCs w:val="28"/>
        </w:rPr>
        <w:t>章和</w:t>
      </w:r>
      <w:r>
        <w:rPr>
          <w:rFonts w:hint="eastAsia"/>
          <w:color w:val="auto"/>
          <w:szCs w:val="28"/>
          <w:lang w:val="en-US" w:eastAsia="zh-CN"/>
        </w:rPr>
        <w:t>5</w:t>
      </w:r>
      <w:r>
        <w:rPr>
          <w:rFonts w:hint="eastAsia"/>
          <w:color w:val="auto"/>
          <w:szCs w:val="28"/>
        </w:rPr>
        <w:t>个附录，主要内容如下：</w:t>
      </w:r>
    </w:p>
    <w:p w14:paraId="3BADBD33">
      <w:pPr>
        <w:spacing w:line="360" w:lineRule="auto"/>
        <w:ind w:firstLine="562"/>
        <w:rPr>
          <w:color w:val="auto"/>
          <w:szCs w:val="28"/>
        </w:rPr>
      </w:pPr>
      <w:r>
        <w:rPr>
          <w:b/>
          <w:color w:val="auto"/>
          <w:szCs w:val="28"/>
        </w:rPr>
        <w:t>1</w:t>
      </w:r>
      <w:r>
        <w:rPr>
          <w:rFonts w:hint="eastAsia"/>
          <w:b/>
          <w:color w:val="auto"/>
          <w:szCs w:val="28"/>
        </w:rPr>
        <w:t>）第</w:t>
      </w:r>
      <w:r>
        <w:rPr>
          <w:b/>
          <w:color w:val="auto"/>
          <w:szCs w:val="28"/>
        </w:rPr>
        <w:t>1</w:t>
      </w:r>
      <w:r>
        <w:rPr>
          <w:rFonts w:hint="eastAsia"/>
          <w:b/>
          <w:color w:val="auto"/>
          <w:szCs w:val="28"/>
        </w:rPr>
        <w:t>章：范围。</w:t>
      </w:r>
      <w:r>
        <w:rPr>
          <w:rFonts w:hint="eastAsia"/>
          <w:color w:val="auto"/>
          <w:szCs w:val="28"/>
        </w:rPr>
        <w:t>本标准规定了生活污水处理企业温室气体排放量的核算和报告相关的术语、核算边界、核算步骤和核算方法、数据质量管理、报告内容和格式等内容。本标准适用于生活污水处理企业温室气体排放量的核算与报告，涉及的温室气体主要是甲烷（</w:t>
      </w:r>
      <w:r>
        <w:rPr>
          <w:color w:val="auto"/>
          <w:szCs w:val="28"/>
        </w:rPr>
        <w:t>CH</w:t>
      </w:r>
      <w:r>
        <w:rPr>
          <w:color w:val="auto"/>
          <w:szCs w:val="28"/>
          <w:vertAlign w:val="subscript"/>
        </w:rPr>
        <w:t>4</w:t>
      </w:r>
      <w:r>
        <w:rPr>
          <w:rFonts w:hint="eastAsia"/>
          <w:color w:val="auto"/>
          <w:szCs w:val="28"/>
        </w:rPr>
        <w:t>）、氧化亚氮（N</w:t>
      </w:r>
      <w:r>
        <w:rPr>
          <w:color w:val="auto"/>
          <w:szCs w:val="28"/>
          <w:vertAlign w:val="subscript"/>
        </w:rPr>
        <w:t>2</w:t>
      </w:r>
      <w:r>
        <w:rPr>
          <w:rFonts w:hint="eastAsia"/>
          <w:color w:val="auto"/>
          <w:szCs w:val="28"/>
        </w:rPr>
        <w:t>O）和二氧化碳（CO</w:t>
      </w:r>
      <w:r>
        <w:rPr>
          <w:color w:val="auto"/>
          <w:szCs w:val="28"/>
          <w:vertAlign w:val="subscript"/>
        </w:rPr>
        <w:t>2</w:t>
      </w:r>
      <w:r>
        <w:rPr>
          <w:rFonts w:hint="eastAsia"/>
          <w:color w:val="auto"/>
          <w:szCs w:val="28"/>
        </w:rPr>
        <w:t>）。</w:t>
      </w:r>
    </w:p>
    <w:p w14:paraId="134025A5">
      <w:pPr>
        <w:spacing w:line="360" w:lineRule="auto"/>
        <w:ind w:firstLine="562"/>
        <w:rPr>
          <w:color w:val="auto"/>
          <w:szCs w:val="28"/>
        </w:rPr>
      </w:pPr>
      <w:r>
        <w:rPr>
          <w:b/>
          <w:color w:val="auto"/>
          <w:szCs w:val="28"/>
        </w:rPr>
        <w:t>2</w:t>
      </w:r>
      <w:r>
        <w:rPr>
          <w:rFonts w:hint="eastAsia"/>
          <w:b/>
          <w:color w:val="auto"/>
          <w:szCs w:val="28"/>
        </w:rPr>
        <w:t>）第</w:t>
      </w:r>
      <w:r>
        <w:rPr>
          <w:b/>
          <w:color w:val="auto"/>
          <w:szCs w:val="28"/>
        </w:rPr>
        <w:t>2</w:t>
      </w:r>
      <w:r>
        <w:rPr>
          <w:rFonts w:hint="eastAsia"/>
          <w:b/>
          <w:color w:val="auto"/>
          <w:szCs w:val="28"/>
        </w:rPr>
        <w:t>章：规范性引用文件。</w:t>
      </w:r>
      <w:r>
        <w:rPr>
          <w:rFonts w:hint="eastAsia"/>
          <w:color w:val="auto"/>
          <w:szCs w:val="28"/>
        </w:rPr>
        <w:t>全文共计引用了</w:t>
      </w:r>
      <w:r>
        <w:rPr>
          <w:rFonts w:hint="eastAsia"/>
          <w:color w:val="auto"/>
          <w:szCs w:val="28"/>
          <w:lang w:val="en-US" w:eastAsia="zh-CN"/>
        </w:rPr>
        <w:t>21</w:t>
      </w:r>
      <w:r>
        <w:rPr>
          <w:rFonts w:hint="eastAsia"/>
          <w:color w:val="auto"/>
          <w:szCs w:val="28"/>
        </w:rPr>
        <w:t>项与本标准相关的标准。</w:t>
      </w:r>
    </w:p>
    <w:p w14:paraId="1EF0F5CC">
      <w:pPr>
        <w:spacing w:line="360" w:lineRule="auto"/>
        <w:ind w:firstLine="562"/>
        <w:rPr>
          <w:color w:val="auto"/>
          <w:szCs w:val="28"/>
        </w:rPr>
      </w:pPr>
      <w:r>
        <w:rPr>
          <w:b/>
          <w:color w:val="auto"/>
          <w:szCs w:val="28"/>
        </w:rPr>
        <w:t>3</w:t>
      </w:r>
      <w:r>
        <w:rPr>
          <w:rFonts w:hint="eastAsia"/>
          <w:b/>
          <w:color w:val="auto"/>
          <w:szCs w:val="28"/>
        </w:rPr>
        <w:t>）第</w:t>
      </w:r>
      <w:r>
        <w:rPr>
          <w:b/>
          <w:color w:val="auto"/>
          <w:szCs w:val="28"/>
        </w:rPr>
        <w:t>3</w:t>
      </w:r>
      <w:r>
        <w:rPr>
          <w:rFonts w:hint="eastAsia"/>
          <w:b/>
          <w:color w:val="auto"/>
          <w:szCs w:val="28"/>
        </w:rPr>
        <w:t>章：术语和定义。</w:t>
      </w:r>
      <w:r>
        <w:rPr>
          <w:rFonts w:hint="eastAsia"/>
          <w:color w:val="auto"/>
          <w:szCs w:val="28"/>
        </w:rPr>
        <w:t>本章主要明确了适用于本标准的相关术语和定义，如温室气体、报告主体、生活污水、</w:t>
      </w:r>
      <w:r>
        <w:rPr>
          <w:rFonts w:hint="eastAsia"/>
          <w:color w:val="auto"/>
          <w:szCs w:val="28"/>
          <w:lang w:val="en-US" w:eastAsia="zh-CN"/>
        </w:rPr>
        <w:t>生活污水处理企业</w:t>
      </w:r>
      <w:r>
        <w:rPr>
          <w:rFonts w:hint="eastAsia"/>
          <w:color w:val="auto"/>
          <w:szCs w:val="28"/>
        </w:rPr>
        <w:t>、</w:t>
      </w:r>
      <w:r>
        <w:rPr>
          <w:rFonts w:hint="eastAsia"/>
          <w:color w:val="auto"/>
          <w:szCs w:val="28"/>
          <w:lang w:val="en-US" w:eastAsia="zh-CN"/>
        </w:rPr>
        <w:t>全球变暖潜势</w:t>
      </w:r>
      <w:r>
        <w:rPr>
          <w:rFonts w:hint="eastAsia"/>
          <w:color w:val="auto"/>
          <w:szCs w:val="28"/>
        </w:rPr>
        <w:t>、</w:t>
      </w:r>
      <w:r>
        <w:rPr>
          <w:rFonts w:hint="eastAsia"/>
          <w:color w:val="auto"/>
          <w:szCs w:val="28"/>
          <w:lang w:val="en-US" w:eastAsia="zh-CN"/>
        </w:rPr>
        <w:t>二氧化碳当量</w:t>
      </w:r>
      <w:r>
        <w:rPr>
          <w:rFonts w:hint="eastAsia"/>
          <w:color w:val="auto"/>
          <w:szCs w:val="28"/>
        </w:rPr>
        <w:t>、排放因子</w:t>
      </w:r>
      <w:r>
        <w:rPr>
          <w:rFonts w:hint="eastAsia"/>
          <w:color w:val="auto"/>
          <w:szCs w:val="28"/>
          <w:lang w:val="en-US" w:eastAsia="zh-CN"/>
        </w:rPr>
        <w:t>等</w:t>
      </w:r>
      <w:r>
        <w:rPr>
          <w:rFonts w:hint="eastAsia"/>
          <w:color w:val="auto"/>
          <w:szCs w:val="28"/>
        </w:rPr>
        <w:t>。</w:t>
      </w:r>
    </w:p>
    <w:p w14:paraId="1D125832">
      <w:pPr>
        <w:spacing w:line="360" w:lineRule="auto"/>
        <w:ind w:firstLine="562"/>
        <w:rPr>
          <w:rFonts w:hint="eastAsia"/>
          <w:color w:val="auto"/>
          <w:szCs w:val="28"/>
        </w:rPr>
      </w:pPr>
      <w:r>
        <w:rPr>
          <w:b/>
          <w:color w:val="auto"/>
          <w:szCs w:val="28"/>
        </w:rPr>
        <w:t>4</w:t>
      </w:r>
      <w:r>
        <w:rPr>
          <w:rFonts w:hint="eastAsia"/>
          <w:b/>
          <w:color w:val="auto"/>
          <w:szCs w:val="28"/>
        </w:rPr>
        <w:t>）第</w:t>
      </w:r>
      <w:r>
        <w:rPr>
          <w:b/>
          <w:color w:val="auto"/>
          <w:szCs w:val="28"/>
        </w:rPr>
        <w:t>4</w:t>
      </w:r>
      <w:r>
        <w:rPr>
          <w:rFonts w:hint="eastAsia"/>
          <w:b/>
          <w:color w:val="auto"/>
          <w:szCs w:val="28"/>
        </w:rPr>
        <w:t>章：核算边界。</w:t>
      </w:r>
      <w:r>
        <w:rPr>
          <w:rFonts w:hint="eastAsia"/>
          <w:color w:val="auto"/>
          <w:szCs w:val="28"/>
        </w:rPr>
        <w:t>本章主要阐明了报告主体应以企业法人或视同法人的独立核算单位为边界，核算和报告其生产系统产生的温室气体排放。介绍了常见生活污水处理过程的</w:t>
      </w:r>
      <w:r>
        <w:rPr>
          <w:rFonts w:hint="eastAsia"/>
          <w:color w:val="auto"/>
          <w:szCs w:val="28"/>
          <w:lang w:val="en-US" w:eastAsia="zh-CN"/>
        </w:rPr>
        <w:t>主要</w:t>
      </w:r>
      <w:r>
        <w:rPr>
          <w:rFonts w:hint="eastAsia"/>
          <w:color w:val="auto"/>
          <w:szCs w:val="28"/>
        </w:rPr>
        <w:t>温室气体排放</w:t>
      </w:r>
      <w:r>
        <w:rPr>
          <w:rFonts w:hint="eastAsia"/>
          <w:color w:val="auto"/>
          <w:szCs w:val="28"/>
          <w:lang w:val="en-US" w:eastAsia="zh-CN"/>
        </w:rPr>
        <w:t>源</w:t>
      </w:r>
      <w:r>
        <w:rPr>
          <w:rFonts w:hint="eastAsia"/>
          <w:color w:val="auto"/>
          <w:szCs w:val="28"/>
        </w:rPr>
        <w:t>，并分别对不同排放源的核算和报告范围进行了相应规定。</w:t>
      </w:r>
    </w:p>
    <w:p w14:paraId="2222F288">
      <w:pPr>
        <w:spacing w:line="360" w:lineRule="auto"/>
        <w:ind w:firstLine="562"/>
        <w:rPr>
          <w:rFonts w:hint="default" w:eastAsia="宋体"/>
          <w:b w:val="0"/>
          <w:bCs/>
          <w:color w:val="auto"/>
          <w:szCs w:val="28"/>
          <w:lang w:val="en-US" w:eastAsia="zh-CN"/>
        </w:rPr>
      </w:pPr>
      <w:r>
        <w:rPr>
          <w:rFonts w:hint="eastAsia"/>
          <w:b/>
          <w:color w:val="auto"/>
          <w:szCs w:val="28"/>
          <w:lang w:val="en-US" w:eastAsia="zh-CN"/>
        </w:rPr>
        <w:t>5</w:t>
      </w:r>
      <w:r>
        <w:rPr>
          <w:rFonts w:hint="eastAsia"/>
          <w:b/>
          <w:color w:val="auto"/>
          <w:szCs w:val="28"/>
        </w:rPr>
        <w:t>）第</w:t>
      </w:r>
      <w:r>
        <w:rPr>
          <w:rFonts w:hint="eastAsia"/>
          <w:b/>
          <w:color w:val="auto"/>
          <w:szCs w:val="28"/>
          <w:lang w:val="en-US" w:eastAsia="zh-CN"/>
        </w:rPr>
        <w:t>5</w:t>
      </w:r>
      <w:r>
        <w:rPr>
          <w:rFonts w:hint="eastAsia"/>
          <w:b/>
          <w:color w:val="auto"/>
          <w:szCs w:val="28"/>
        </w:rPr>
        <w:t>章：</w:t>
      </w:r>
      <w:r>
        <w:rPr>
          <w:rFonts w:hint="eastAsia"/>
          <w:b/>
          <w:color w:val="auto"/>
          <w:szCs w:val="28"/>
          <w:lang w:val="en-US" w:eastAsia="zh-CN"/>
        </w:rPr>
        <w:t>计量与监检测要求</w:t>
      </w:r>
      <w:r>
        <w:rPr>
          <w:rFonts w:hint="eastAsia"/>
          <w:b/>
          <w:color w:val="auto"/>
          <w:szCs w:val="28"/>
        </w:rPr>
        <w:t>。</w:t>
      </w:r>
      <w:r>
        <w:rPr>
          <w:rFonts w:hint="eastAsia"/>
          <w:b w:val="0"/>
          <w:bCs/>
          <w:color w:val="auto"/>
          <w:szCs w:val="28"/>
          <w:lang w:val="en-US" w:eastAsia="zh-CN"/>
        </w:rPr>
        <w:t>本章总结了生活污水处理企业各主要生产环节温室气体排放计量与监检测参数及其计量方法和设备，并对计量监测过程提出了管理要求。</w:t>
      </w:r>
    </w:p>
    <w:p w14:paraId="3B9C8280">
      <w:pPr>
        <w:spacing w:line="360" w:lineRule="auto"/>
        <w:ind w:firstLine="562"/>
        <w:rPr>
          <w:rFonts w:hint="eastAsia"/>
          <w:b/>
          <w:color w:val="auto"/>
          <w:szCs w:val="28"/>
        </w:rPr>
      </w:pPr>
      <w:r>
        <w:rPr>
          <w:rFonts w:hint="eastAsia"/>
          <w:b/>
          <w:color w:val="auto"/>
          <w:szCs w:val="28"/>
          <w:lang w:val="en-US" w:eastAsia="zh-CN"/>
        </w:rPr>
        <w:t>6</w:t>
      </w:r>
      <w:r>
        <w:rPr>
          <w:rFonts w:hint="eastAsia"/>
          <w:b/>
          <w:color w:val="auto"/>
          <w:szCs w:val="28"/>
        </w:rPr>
        <w:t>）第</w:t>
      </w:r>
      <w:r>
        <w:rPr>
          <w:rFonts w:hint="eastAsia"/>
          <w:b/>
          <w:color w:val="auto"/>
          <w:szCs w:val="28"/>
          <w:lang w:val="en-US" w:eastAsia="zh-CN"/>
        </w:rPr>
        <w:t>6</w:t>
      </w:r>
      <w:r>
        <w:rPr>
          <w:rFonts w:hint="eastAsia"/>
          <w:b/>
          <w:color w:val="auto"/>
          <w:szCs w:val="28"/>
        </w:rPr>
        <w:t>章：核算步骤与核算方法。</w:t>
      </w:r>
    </w:p>
    <w:p w14:paraId="05F9023C">
      <w:pPr>
        <w:spacing w:line="360" w:lineRule="auto"/>
        <w:ind w:firstLine="562"/>
        <w:rPr>
          <w:rFonts w:hint="eastAsia"/>
          <w:b w:val="0"/>
          <w:bCs/>
          <w:color w:val="auto"/>
          <w:szCs w:val="28"/>
        </w:rPr>
      </w:pPr>
      <w:r>
        <w:rPr>
          <w:rFonts w:hint="eastAsia"/>
          <w:b w:val="0"/>
          <w:bCs/>
          <w:color w:val="auto"/>
          <w:szCs w:val="28"/>
        </w:rPr>
        <w:t xml:space="preserve">本章主要介绍核算步骤及相关核算方法。核算工作围绕污水和污泥处理过程的直接排放，以及电力和热力消耗所导致的间接排放展开。  </w:t>
      </w:r>
    </w:p>
    <w:p w14:paraId="33093DBE">
      <w:pPr>
        <w:spacing w:line="360" w:lineRule="auto"/>
        <w:ind w:left="0" w:leftChars="0" w:firstLine="0" w:firstLineChars="0"/>
        <w:rPr>
          <w:rFonts w:hint="eastAsia"/>
          <w:b w:val="0"/>
          <w:bCs/>
          <w:color w:val="auto"/>
          <w:szCs w:val="28"/>
        </w:rPr>
      </w:pPr>
      <w:r>
        <w:rPr>
          <w:rFonts w:hint="eastAsia"/>
          <w:b w:val="0"/>
          <w:bCs/>
          <w:color w:val="auto"/>
          <w:szCs w:val="28"/>
        </w:rPr>
        <w:t>在污水处理过程中，温室气体的直接排放主要来源于</w:t>
      </w:r>
      <w:r>
        <w:rPr>
          <w:rFonts w:hint="eastAsia"/>
          <w:lang w:eastAsia="zh"/>
        </w:rPr>
        <w:t>微生物对有机物降解及氮类化合物转化</w:t>
      </w:r>
      <w:r>
        <w:rPr>
          <w:rFonts w:hint="eastAsia"/>
          <w:b w:val="0"/>
          <w:bCs/>
          <w:color w:val="auto"/>
          <w:szCs w:val="28"/>
        </w:rPr>
        <w:t>，主要排放气体为甲烷（CH</w:t>
      </w:r>
      <w:r>
        <w:rPr>
          <w:rFonts w:hint="eastAsia"/>
          <w:b w:val="0"/>
          <w:bCs/>
          <w:color w:val="auto"/>
          <w:szCs w:val="28"/>
          <w:vertAlign w:val="subscript"/>
          <w:lang w:val="en-US" w:eastAsia="zh-CN"/>
        </w:rPr>
        <w:t>4</w:t>
      </w:r>
      <w:r>
        <w:rPr>
          <w:rFonts w:hint="eastAsia"/>
          <w:b w:val="0"/>
          <w:bCs/>
          <w:color w:val="auto"/>
          <w:szCs w:val="28"/>
        </w:rPr>
        <w:t>）和氧化亚氮（N</w:t>
      </w:r>
      <w:r>
        <w:rPr>
          <w:rFonts w:hint="eastAsia"/>
          <w:b w:val="0"/>
          <w:bCs/>
          <w:color w:val="auto"/>
          <w:szCs w:val="28"/>
          <w:vertAlign w:val="subscript"/>
          <w:lang w:val="en-US" w:eastAsia="zh-CN"/>
        </w:rPr>
        <w:t>2</w:t>
      </w:r>
      <w:r>
        <w:rPr>
          <w:rFonts w:hint="eastAsia"/>
          <w:b w:val="0"/>
          <w:bCs/>
          <w:color w:val="auto"/>
          <w:szCs w:val="28"/>
        </w:rPr>
        <w:t>O）。其中，CH</w:t>
      </w:r>
      <w:r>
        <w:rPr>
          <w:rFonts w:hint="eastAsia"/>
          <w:b w:val="0"/>
          <w:bCs/>
          <w:color w:val="auto"/>
          <w:szCs w:val="28"/>
          <w:vertAlign w:val="subscript"/>
          <w:lang w:val="en-US" w:eastAsia="zh-CN"/>
        </w:rPr>
        <w:t>4</w:t>
      </w:r>
      <w:r>
        <w:rPr>
          <w:rFonts w:hint="eastAsia"/>
          <w:b w:val="0"/>
          <w:bCs/>
          <w:color w:val="auto"/>
          <w:szCs w:val="28"/>
        </w:rPr>
        <w:t>主要由厌氧条件下的有机物降解产生，N</w:t>
      </w:r>
      <w:r>
        <w:rPr>
          <w:rFonts w:hint="eastAsia"/>
          <w:b w:val="0"/>
          <w:bCs/>
          <w:color w:val="auto"/>
          <w:szCs w:val="28"/>
          <w:vertAlign w:val="subscript"/>
          <w:lang w:val="en-US" w:eastAsia="zh-CN"/>
        </w:rPr>
        <w:t>2</w:t>
      </w:r>
      <w:r>
        <w:rPr>
          <w:rFonts w:hint="eastAsia"/>
          <w:b w:val="0"/>
          <w:bCs/>
          <w:color w:val="auto"/>
          <w:szCs w:val="28"/>
        </w:rPr>
        <w:t xml:space="preserve">O则与含氮化合物的硝化-反硝化过程密切相关。因此，需关注进水和出水的化学需氧量（COD）和总氮（TN）浓度，以评估潜在排放量。  </w:t>
      </w:r>
    </w:p>
    <w:p w14:paraId="72F63DAC">
      <w:pPr>
        <w:spacing w:line="360" w:lineRule="auto"/>
        <w:rPr>
          <w:rFonts w:hint="eastAsia"/>
          <w:b w:val="0"/>
          <w:bCs/>
          <w:color w:val="auto"/>
          <w:szCs w:val="28"/>
        </w:rPr>
      </w:pPr>
      <w:r>
        <w:rPr>
          <w:rFonts w:hint="eastAsia"/>
          <w:b w:val="0"/>
          <w:bCs/>
          <w:color w:val="auto"/>
          <w:szCs w:val="28"/>
        </w:rPr>
        <w:t>污泥是污水处理的主要副产物之一，富含有机物和营养元素。在污水处理过程中，部分有机污染物会随污泥富集，而污泥在后续的处理和处置过程中，如厌氧消化、</w:t>
      </w:r>
      <w:r>
        <w:rPr>
          <w:rFonts w:hint="eastAsia"/>
          <w:b w:val="0"/>
          <w:bCs/>
          <w:color w:val="auto"/>
          <w:szCs w:val="28"/>
          <w:lang w:val="en-US" w:eastAsia="zh-CN"/>
        </w:rPr>
        <w:t>好氧发酵、</w:t>
      </w:r>
      <w:r>
        <w:rPr>
          <w:rFonts w:hint="eastAsia"/>
          <w:b w:val="0"/>
          <w:bCs/>
          <w:color w:val="auto"/>
          <w:szCs w:val="28"/>
        </w:rPr>
        <w:t>填埋或焚烧等，均可能产生CH</w:t>
      </w:r>
      <w:r>
        <w:rPr>
          <w:rFonts w:hint="eastAsia"/>
          <w:b w:val="0"/>
          <w:bCs/>
          <w:color w:val="auto"/>
          <w:szCs w:val="28"/>
          <w:vertAlign w:val="subscript"/>
          <w:lang w:val="en-US" w:eastAsia="zh-CN"/>
        </w:rPr>
        <w:t>4</w:t>
      </w:r>
      <w:r>
        <w:rPr>
          <w:rFonts w:hint="eastAsia"/>
          <w:b w:val="0"/>
          <w:bCs/>
          <w:color w:val="auto"/>
          <w:szCs w:val="28"/>
        </w:rPr>
        <w:t>和N</w:t>
      </w:r>
      <w:r>
        <w:rPr>
          <w:rFonts w:hint="eastAsia"/>
          <w:b w:val="0"/>
          <w:bCs/>
          <w:color w:val="auto"/>
          <w:szCs w:val="28"/>
          <w:vertAlign w:val="subscript"/>
          <w:lang w:val="en-US" w:eastAsia="zh-CN"/>
        </w:rPr>
        <w:t>2</w:t>
      </w:r>
      <w:r>
        <w:rPr>
          <w:rFonts w:hint="eastAsia"/>
          <w:b w:val="0"/>
          <w:bCs/>
          <w:color w:val="auto"/>
          <w:szCs w:val="28"/>
        </w:rPr>
        <w:t xml:space="preserve">O，是污水处理系统中不可忽视的温室气体排放源。  </w:t>
      </w:r>
    </w:p>
    <w:p w14:paraId="5379DB39">
      <w:pPr>
        <w:spacing w:line="360" w:lineRule="auto"/>
        <w:ind w:firstLine="562"/>
        <w:rPr>
          <w:rFonts w:hint="eastAsia"/>
          <w:b w:val="0"/>
          <w:bCs/>
          <w:color w:val="auto"/>
          <w:szCs w:val="28"/>
        </w:rPr>
      </w:pPr>
      <w:r>
        <w:rPr>
          <w:rFonts w:hint="eastAsia"/>
          <w:b w:val="0"/>
          <w:bCs/>
          <w:color w:val="auto"/>
          <w:szCs w:val="28"/>
        </w:rPr>
        <w:t>由于本标准的</w:t>
      </w:r>
      <w:r>
        <w:rPr>
          <w:rFonts w:hint="eastAsia"/>
          <w:b w:val="0"/>
          <w:bCs/>
          <w:color w:val="auto"/>
          <w:szCs w:val="28"/>
          <w:lang w:val="en-US" w:eastAsia="zh-CN"/>
        </w:rPr>
        <w:t>核算</w:t>
      </w:r>
      <w:r>
        <w:rPr>
          <w:rFonts w:hint="eastAsia"/>
          <w:b w:val="0"/>
          <w:bCs/>
          <w:color w:val="auto"/>
          <w:szCs w:val="28"/>
        </w:rPr>
        <w:t>边界遵循</w:t>
      </w:r>
      <w:r>
        <w:rPr>
          <w:rFonts w:hint="eastAsia"/>
          <w:b w:val="0"/>
          <w:bCs/>
          <w:color w:val="auto"/>
          <w:szCs w:val="28"/>
          <w:lang w:val="en-US" w:eastAsia="zh-CN"/>
        </w:rPr>
        <w:t>企业法人边界</w:t>
      </w:r>
      <w:r>
        <w:rPr>
          <w:rFonts w:hint="eastAsia"/>
          <w:b w:val="0"/>
          <w:bCs/>
          <w:color w:val="auto"/>
          <w:szCs w:val="28"/>
        </w:rPr>
        <w:t>原则，部分污水处理厂的污泥会转运至厂外进行处理，而部分污水处理厂同时承担外部污泥的处理任务。为避免重复核算，本标准</w:t>
      </w:r>
      <w:r>
        <w:rPr>
          <w:rFonts w:hint="eastAsia"/>
          <w:b w:val="0"/>
          <w:bCs/>
          <w:color w:val="auto"/>
          <w:szCs w:val="28"/>
          <w:lang w:val="en-US" w:eastAsia="zh-CN"/>
        </w:rPr>
        <w:t>在参考过国内外主要核算标准后（表2），</w:t>
      </w:r>
      <w:r>
        <w:rPr>
          <w:rFonts w:hint="eastAsia"/>
          <w:b w:val="0"/>
          <w:bCs/>
          <w:color w:val="auto"/>
          <w:szCs w:val="28"/>
        </w:rPr>
        <w:t>将污水和污泥的排放</w:t>
      </w:r>
      <w:r>
        <w:rPr>
          <w:rFonts w:hint="eastAsia"/>
          <w:b w:val="0"/>
          <w:bCs/>
          <w:color w:val="auto"/>
          <w:szCs w:val="28"/>
          <w:lang w:val="en-US" w:eastAsia="zh-CN"/>
        </w:rPr>
        <w:t>分成两部分</w:t>
      </w:r>
      <w:r>
        <w:rPr>
          <w:rFonts w:hint="eastAsia"/>
          <w:b w:val="0"/>
          <w:bCs/>
          <w:color w:val="auto"/>
          <w:szCs w:val="28"/>
        </w:rPr>
        <w:t xml:space="preserve">计算。  </w:t>
      </w:r>
    </w:p>
    <w:p w14:paraId="66476720">
      <w:pPr>
        <w:spacing w:line="360" w:lineRule="auto"/>
        <w:ind w:firstLine="562"/>
        <w:rPr>
          <w:rFonts w:hint="default"/>
          <w:b w:val="0"/>
          <w:bCs/>
          <w:color w:val="auto"/>
          <w:szCs w:val="28"/>
          <w:lang w:val="en-US"/>
        </w:rPr>
      </w:pPr>
      <w:r>
        <w:rPr>
          <w:rFonts w:hint="eastAsia"/>
          <w:b w:val="0"/>
          <w:bCs/>
          <w:color w:val="auto"/>
          <w:szCs w:val="28"/>
        </w:rPr>
        <w:t>污水和污泥处理过程的排放因子可通过现场监测数据获取。在缺乏监测数据的情况下，可参考本标准提供的缺省值（见</w:t>
      </w:r>
      <w:r>
        <w:rPr>
          <w:rFonts w:hint="eastAsia"/>
          <w:b w:val="0"/>
          <w:bCs/>
          <w:color w:val="auto"/>
          <w:szCs w:val="28"/>
          <w:lang w:val="en-US" w:eastAsia="zh-CN"/>
        </w:rPr>
        <w:t>标准</w:t>
      </w:r>
      <w:r>
        <w:rPr>
          <w:rFonts w:hint="eastAsia"/>
          <w:b w:val="0"/>
          <w:bCs/>
          <w:color w:val="auto"/>
          <w:szCs w:val="28"/>
        </w:rPr>
        <w:t xml:space="preserve">附录C）。 </w:t>
      </w:r>
      <w:r>
        <w:rPr>
          <w:rFonts w:hint="eastAsia"/>
          <w:b w:val="0"/>
          <w:bCs/>
          <w:color w:val="auto"/>
          <w:szCs w:val="28"/>
          <w:lang w:val="en-US" w:eastAsia="zh-CN"/>
        </w:rPr>
        <w:t>其中，污水处理过程的排放因子主要基于生态环境部碳监测评估试点工作的成果，通过选取多个地区覆盖全年的月度监测数据进行系统提炼得出。污泥厌氧消化的排放因子来源于文献调研值，而污泥好氧发酵和焚烧的排放因子则基于少量实测数据确定。这些因子为污水处理企业提供了科学、可靠的核算依据，支持温室气体排放的精准管理和有效控制。</w:t>
      </w:r>
    </w:p>
    <w:p w14:paraId="72909B6E">
      <w:pPr>
        <w:spacing w:line="360" w:lineRule="auto"/>
        <w:ind w:firstLine="562"/>
        <w:rPr>
          <w:rFonts w:hint="eastAsia"/>
          <w:b/>
          <w:color w:val="auto"/>
          <w:szCs w:val="28"/>
          <w:highlight w:val="none"/>
        </w:rPr>
      </w:pPr>
      <w:r>
        <w:rPr>
          <w:rFonts w:hint="eastAsia"/>
          <w:b w:val="0"/>
          <w:bCs/>
          <w:color w:val="auto"/>
          <w:szCs w:val="28"/>
        </w:rPr>
        <w:t>燃料燃烧、电力消耗和热力消耗的核算方法及排放因子，与GB 32151系列国家标准保持一致，并依据</w:t>
      </w:r>
      <w:r>
        <w:rPr>
          <w:rFonts w:hint="eastAsia"/>
          <w:b w:val="0"/>
          <w:bCs/>
          <w:color w:val="auto"/>
          <w:szCs w:val="28"/>
          <w:highlight w:val="none"/>
          <w:lang w:val="en-US" w:eastAsia="zh-CN"/>
        </w:rPr>
        <w:t>国家最新发布的区域电网碳排放因子</w:t>
      </w:r>
      <w:r>
        <w:rPr>
          <w:rFonts w:hint="eastAsia"/>
          <w:b w:val="0"/>
          <w:bCs/>
          <w:color w:val="auto"/>
          <w:szCs w:val="28"/>
          <w:highlight w:val="none"/>
        </w:rPr>
        <w:t>进行同步调整</w:t>
      </w:r>
      <w:r>
        <w:rPr>
          <w:rFonts w:hint="eastAsia"/>
          <w:b w:val="0"/>
          <w:bCs/>
          <w:color w:val="auto"/>
          <w:szCs w:val="28"/>
          <w:highlight w:val="none"/>
          <w:lang w:eastAsia="zh-CN"/>
        </w:rPr>
        <w:t>（</w:t>
      </w:r>
      <w:r>
        <w:rPr>
          <w:rFonts w:hint="eastAsia"/>
          <w:b w:val="0"/>
          <w:bCs/>
          <w:color w:val="auto"/>
          <w:szCs w:val="28"/>
          <w:highlight w:val="none"/>
          <w:lang w:val="en-US" w:eastAsia="zh-CN"/>
        </w:rPr>
        <w:t>见标准附录D)</w:t>
      </w:r>
      <w:r>
        <w:rPr>
          <w:rFonts w:hint="eastAsia"/>
          <w:b w:val="0"/>
          <w:bCs/>
          <w:color w:val="auto"/>
          <w:szCs w:val="28"/>
          <w:highlight w:val="none"/>
        </w:rPr>
        <w:t xml:space="preserve">。 </w:t>
      </w:r>
      <w:r>
        <w:rPr>
          <w:rFonts w:hint="eastAsia"/>
          <w:b/>
          <w:color w:val="auto"/>
          <w:szCs w:val="28"/>
          <w:highlight w:val="none"/>
        </w:rPr>
        <w:t xml:space="preserve"> </w:t>
      </w:r>
    </w:p>
    <w:p w14:paraId="02446480">
      <w:pPr>
        <w:spacing w:line="360" w:lineRule="auto"/>
        <w:ind w:firstLine="562"/>
        <w:rPr>
          <w:rFonts w:hint="eastAsia" w:ascii="宋体" w:hAnsi="宋体" w:eastAsia="宋体" w:cs="宋体"/>
          <w:sz w:val="24"/>
          <w:szCs w:val="24"/>
          <w:lang w:eastAsia="zh"/>
          <w:woUserID w:val="4"/>
        </w:rPr>
      </w:pPr>
      <w:r>
        <w:rPr>
          <w:rFonts w:hint="eastAsia"/>
          <w:b w:val="0"/>
          <w:bCs/>
          <w:color w:val="auto"/>
          <w:szCs w:val="28"/>
          <w:lang w:val="en-US" w:eastAsia="zh-CN"/>
        </w:rPr>
        <w:t>在污水污泥处理过程中，碳源的使用会直接产生碳排放，而其他化学药剂的使用则可能导致间接碳排放。因此，水务企业在开展温室气体控制与减排工作时，需统筹考虑药剂使用带来的碳排放影响。标准编制组对国内主要水务企业的药剂使用情况进行了深入分析，明确了主要化学药剂的类别，并通过调研国内外相关标准和数据库（如T/CAEPI49</w:t>
      </w:r>
      <w:r>
        <w:rPr>
          <w:rFonts w:hint="eastAsia"/>
          <w:b w:val="0"/>
          <w:bCs/>
          <w:color w:val="auto"/>
          <w:szCs w:val="28"/>
          <w:vertAlign w:val="superscript"/>
          <w:lang w:val="en-US" w:eastAsia="zh-CN"/>
        </w:rPr>
        <w:t>[1]</w:t>
      </w:r>
      <w:r>
        <w:rPr>
          <w:rFonts w:hint="eastAsia"/>
          <w:b w:val="0"/>
          <w:bCs/>
          <w:color w:val="auto"/>
          <w:szCs w:val="28"/>
          <w:lang w:val="en-US" w:eastAsia="zh-CN"/>
        </w:rPr>
        <w:t>、T/CUWA50055</w:t>
      </w:r>
      <w:r>
        <w:rPr>
          <w:rFonts w:hint="eastAsia"/>
          <w:b w:val="0"/>
          <w:bCs/>
          <w:color w:val="auto"/>
          <w:szCs w:val="28"/>
          <w:vertAlign w:val="superscript"/>
          <w:lang w:val="en-US" w:eastAsia="zh-CN"/>
        </w:rPr>
        <w:t>[2]</w:t>
      </w:r>
      <w:r>
        <w:rPr>
          <w:rFonts w:hint="eastAsia"/>
          <w:b w:val="0"/>
          <w:bCs/>
          <w:color w:val="auto"/>
          <w:szCs w:val="28"/>
          <w:lang w:val="en-US" w:eastAsia="zh-CN"/>
        </w:rPr>
        <w:t>、CPCD</w:t>
      </w:r>
      <w:r>
        <w:rPr>
          <w:rFonts w:hint="eastAsia"/>
          <w:b w:val="0"/>
          <w:bCs/>
          <w:color w:val="auto"/>
          <w:szCs w:val="28"/>
          <w:vertAlign w:val="superscript"/>
          <w:lang w:val="en-US" w:eastAsia="zh-CN"/>
        </w:rPr>
        <w:t>[3]</w:t>
      </w:r>
      <w:r>
        <w:rPr>
          <w:rFonts w:hint="eastAsia"/>
          <w:b w:val="0"/>
          <w:bCs/>
          <w:color w:val="auto"/>
          <w:szCs w:val="28"/>
          <w:lang w:val="en-US" w:eastAsia="zh-CN"/>
        </w:rPr>
        <w:t>、Ecoinvent</w:t>
      </w:r>
      <w:r>
        <w:rPr>
          <w:rFonts w:hint="eastAsia"/>
          <w:b w:val="0"/>
          <w:bCs/>
          <w:color w:val="auto"/>
          <w:szCs w:val="28"/>
          <w:vertAlign w:val="superscript"/>
          <w:lang w:val="en-US" w:eastAsia="zh-CN"/>
        </w:rPr>
        <w:t>[4]</w:t>
      </w:r>
      <w:r>
        <w:rPr>
          <w:rFonts w:hint="eastAsia"/>
          <w:b w:val="0"/>
          <w:bCs/>
          <w:color w:val="auto"/>
          <w:szCs w:val="28"/>
          <w:lang w:val="en-US" w:eastAsia="zh-CN"/>
        </w:rPr>
        <w:t>、Simapro</w:t>
      </w:r>
      <w:r>
        <w:rPr>
          <w:rFonts w:hint="eastAsia"/>
          <w:b w:val="0"/>
          <w:bCs/>
          <w:color w:val="auto"/>
          <w:szCs w:val="28"/>
          <w:vertAlign w:val="superscript"/>
          <w:lang w:val="en-US" w:eastAsia="zh-CN"/>
        </w:rPr>
        <w:t>[5]</w:t>
      </w:r>
      <w:r>
        <w:rPr>
          <w:rFonts w:hint="eastAsia"/>
          <w:b w:val="0"/>
          <w:bCs/>
          <w:color w:val="auto"/>
          <w:szCs w:val="28"/>
          <w:lang w:val="en-US" w:eastAsia="zh-CN"/>
        </w:rPr>
        <w:t>、Incopa</w:t>
      </w:r>
      <w:r>
        <w:rPr>
          <w:rFonts w:hint="eastAsia"/>
          <w:b w:val="0"/>
          <w:bCs/>
          <w:color w:val="auto"/>
          <w:szCs w:val="28"/>
          <w:vertAlign w:val="superscript"/>
          <w:lang w:val="en-US" w:eastAsia="zh-CN"/>
        </w:rPr>
        <w:t>[6]</w:t>
      </w:r>
      <w:r>
        <w:rPr>
          <w:rFonts w:hint="eastAsia"/>
          <w:b w:val="0"/>
          <w:bCs/>
          <w:color w:val="auto"/>
          <w:szCs w:val="28"/>
          <w:lang w:val="en-US" w:eastAsia="zh-CN"/>
        </w:rPr>
        <w:t>等），系统收集和整理了污水处理过程中温室气体排放因子。基于全生命周期核算，推荐了适用于我国的缺省排放因子，主要参考团体标准T/CUWA50055和因子库Ecoinvent中的推荐值。污水处理企业可依据本标准提供的核算方法及因子数据进行试算和排放管理，并在标准附录表格B.1中选择相关数据进行报送。</w:t>
      </w:r>
    </w:p>
    <w:p w14:paraId="3333B02C">
      <w:pPr>
        <w:rPr>
          <w:rFonts w:hint="default" w:ascii="宋体" w:hAnsi="宋体" w:eastAsia="宋体" w:cs="宋体"/>
          <w:sz w:val="24"/>
          <w:szCs w:val="24"/>
          <w:lang w:val="en-US" w:eastAsia="zh-CN"/>
          <w:woUserID w:val="4"/>
        </w:rPr>
        <w:sectPr>
          <w:footerReference r:id="rId10" w:type="default"/>
          <w:pgSz w:w="11906" w:h="16838"/>
          <w:pgMar w:top="1440" w:right="1797" w:bottom="1440" w:left="1797" w:header="851" w:footer="567" w:gutter="0"/>
          <w:pgBorders>
            <w:top w:val="none" w:sz="0" w:space="0"/>
            <w:left w:val="none" w:sz="0" w:space="0"/>
            <w:bottom w:val="none" w:sz="0" w:space="0"/>
            <w:right w:val="none" w:sz="0" w:space="0"/>
          </w:pgBorders>
          <w:pgNumType w:fmt="decimal" w:start="1"/>
          <w:cols w:space="0" w:num="1"/>
          <w:rtlGutter w:val="0"/>
          <w:docGrid w:type="lines" w:linePitch="395" w:charSpace="0"/>
        </w:sectPr>
      </w:pPr>
      <w:r>
        <w:rPr>
          <w:rFonts w:hint="eastAsia" w:eastAsia="宋体"/>
          <w:b w:val="0"/>
          <w:bCs/>
          <w:color w:val="auto"/>
          <w:szCs w:val="28"/>
          <w:lang w:val="en-US" w:eastAsia="zh-CN"/>
          <w:woUserID w:val="5"/>
        </w:rPr>
        <w:t xml:space="preserve">表2 </w:t>
      </w:r>
      <w:r>
        <w:rPr>
          <w:rFonts w:hint="eastAsia"/>
          <w:b w:val="0"/>
          <w:bCs/>
          <w:color w:val="auto"/>
          <w:szCs w:val="28"/>
          <w:lang w:val="en-US" w:eastAsia="zh-CN"/>
        </w:rPr>
        <w:t>国内外主要核算标准的边界</w:t>
      </w:r>
    </w:p>
    <w:tbl>
      <w:tblPr>
        <w:tblStyle w:val="88"/>
        <w:tblW w:w="13958" w:type="dxa"/>
        <w:tblInd w:w="108"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458"/>
        <w:gridCol w:w="381"/>
        <w:gridCol w:w="2494"/>
        <w:gridCol w:w="1883"/>
        <w:gridCol w:w="1401"/>
        <w:gridCol w:w="1147"/>
        <w:gridCol w:w="2076"/>
        <w:gridCol w:w="1143"/>
        <w:gridCol w:w="1254"/>
        <w:gridCol w:w="1721"/>
      </w:tblGrid>
      <w:tr w14:paraId="5B111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0" w:hRule="atLeast"/>
        </w:trPr>
        <w:tc>
          <w:tcPr>
            <w:tcW w:w="1193"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82F754">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C205521">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lang w:val="en-US" w:eastAsia="zh-CN"/>
              </w:rPr>
            </w:pPr>
            <w:r>
              <w:rPr>
                <w:rFonts w:hint="default" w:ascii="Times New Roman" w:hAnsi="Times New Roman" w:eastAsia="宋体" w:cs="Times New Roman"/>
                <w:b w:val="0"/>
                <w:bCs w:val="0"/>
                <w:i w:val="0"/>
                <w:iCs w:val="0"/>
                <w:color w:val="000000"/>
                <w:sz w:val="24"/>
                <w:szCs w:val="24"/>
                <w:u w:val="none"/>
                <w:lang w:val="en-US" w:eastAsia="zh"/>
                <w:woUserID w:val="1"/>
              </w:rPr>
              <w:t>方法</w:t>
            </w:r>
            <w:r>
              <w:rPr>
                <w:rFonts w:hint="default" w:ascii="Times New Roman" w:hAnsi="Times New Roman" w:eastAsia="宋体" w:cs="Times New Roman"/>
                <w:b w:val="0"/>
                <w:bCs w:val="0"/>
                <w:i w:val="0"/>
                <w:iCs w:val="0"/>
                <w:color w:val="000000"/>
                <w:sz w:val="24"/>
                <w:szCs w:val="24"/>
                <w:u w:val="none"/>
                <w:lang w:val="en-US" w:eastAsia="zh-CN"/>
              </w:rPr>
              <w:t>1</w:t>
            </w:r>
            <w:r>
              <w:rPr>
                <w:rFonts w:hint="default" w:ascii="Times New Roman" w:hAnsi="Times New Roman" w:eastAsia="宋体" w:cs="Times New Roman"/>
                <w:b w:val="0"/>
                <w:bCs w:val="0"/>
                <w:i w:val="0"/>
                <w:iCs w:val="0"/>
                <w:color w:val="000000"/>
                <w:sz w:val="24"/>
                <w:szCs w:val="24"/>
                <w:u w:val="none"/>
                <w:vertAlign w:val="superscript"/>
                <w:lang w:val="en-US" w:eastAsia="zh-CN"/>
              </w:rPr>
              <w:t>[7]</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CBA3BB5">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lang w:val="en-US" w:eastAsia="zh-CN"/>
              </w:rPr>
            </w:pPr>
            <w:r>
              <w:rPr>
                <w:rFonts w:hint="default" w:ascii="Times New Roman" w:hAnsi="Times New Roman" w:eastAsia="宋体" w:cs="Times New Roman"/>
                <w:b w:val="0"/>
                <w:bCs w:val="0"/>
                <w:i w:val="0"/>
                <w:iCs w:val="0"/>
                <w:color w:val="000000"/>
                <w:sz w:val="24"/>
                <w:szCs w:val="24"/>
                <w:u w:val="none"/>
                <w:lang w:val="en-US" w:eastAsia="zh"/>
                <w:woUserID w:val="1"/>
              </w:rPr>
              <w:t>方法</w:t>
            </w:r>
            <w:r>
              <w:rPr>
                <w:rFonts w:hint="default" w:ascii="Times New Roman" w:hAnsi="Times New Roman" w:eastAsia="宋体" w:cs="Times New Roman"/>
                <w:b w:val="0"/>
                <w:bCs w:val="0"/>
                <w:i w:val="0"/>
                <w:iCs w:val="0"/>
                <w:color w:val="000000"/>
                <w:sz w:val="24"/>
                <w:szCs w:val="24"/>
                <w:u w:val="none"/>
                <w:lang w:val="en-US" w:eastAsia="zh-CN"/>
              </w:rPr>
              <w:t>2</w:t>
            </w:r>
            <w:r>
              <w:rPr>
                <w:rFonts w:hint="default" w:ascii="Times New Roman" w:hAnsi="Times New Roman" w:eastAsia="宋体" w:cs="Times New Roman"/>
                <w:b w:val="0"/>
                <w:bCs w:val="0"/>
                <w:i w:val="0"/>
                <w:iCs w:val="0"/>
                <w:color w:val="000000"/>
                <w:sz w:val="24"/>
                <w:szCs w:val="24"/>
                <w:u w:val="none"/>
                <w:vertAlign w:val="superscript"/>
                <w:lang w:val="en-US" w:eastAsia="zh-CN"/>
              </w:rPr>
              <w:t>[8]</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4ADCFB">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lang w:val="en-US" w:eastAsia="zh-CN"/>
              </w:rPr>
            </w:pPr>
            <w:r>
              <w:rPr>
                <w:rFonts w:hint="default" w:ascii="Times New Roman" w:hAnsi="Times New Roman" w:eastAsia="宋体" w:cs="Times New Roman"/>
                <w:b w:val="0"/>
                <w:bCs w:val="0"/>
                <w:i w:val="0"/>
                <w:iCs w:val="0"/>
                <w:color w:val="000000"/>
                <w:sz w:val="24"/>
                <w:szCs w:val="24"/>
                <w:u w:val="none"/>
                <w:lang w:val="en-US" w:eastAsia="zh"/>
                <w:woUserID w:val="1"/>
              </w:rPr>
              <w:t>方法</w:t>
            </w:r>
            <w:r>
              <w:rPr>
                <w:rFonts w:hint="default" w:ascii="Times New Roman" w:hAnsi="Times New Roman" w:eastAsia="宋体" w:cs="Times New Roman"/>
                <w:b w:val="0"/>
                <w:bCs w:val="0"/>
                <w:i w:val="0"/>
                <w:iCs w:val="0"/>
                <w:color w:val="000000"/>
                <w:sz w:val="24"/>
                <w:szCs w:val="24"/>
                <w:u w:val="none"/>
                <w:lang w:val="en-US" w:eastAsia="zh-CN"/>
              </w:rPr>
              <w:t>3</w:t>
            </w:r>
            <w:r>
              <w:rPr>
                <w:rFonts w:hint="default" w:ascii="Times New Roman" w:hAnsi="Times New Roman" w:eastAsia="宋体" w:cs="Times New Roman"/>
                <w:b w:val="0"/>
                <w:bCs w:val="0"/>
                <w:i w:val="0"/>
                <w:iCs w:val="0"/>
                <w:color w:val="000000"/>
                <w:sz w:val="24"/>
                <w:szCs w:val="24"/>
                <w:u w:val="none"/>
                <w:vertAlign w:val="superscript"/>
                <w:lang w:val="en-US" w:eastAsia="zh-CN"/>
              </w:rPr>
              <w:t>[1]</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5DDEF2">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lang w:val="en-US" w:eastAsia="zh-CN"/>
              </w:rPr>
            </w:pPr>
            <w:r>
              <w:rPr>
                <w:rFonts w:hint="default" w:ascii="Times New Roman" w:hAnsi="Times New Roman" w:eastAsia="宋体" w:cs="Times New Roman"/>
                <w:b w:val="0"/>
                <w:bCs w:val="0"/>
                <w:i w:val="0"/>
                <w:iCs w:val="0"/>
                <w:color w:val="000000"/>
                <w:sz w:val="24"/>
                <w:szCs w:val="24"/>
                <w:u w:val="none"/>
                <w:lang w:val="en-US" w:eastAsia="zh"/>
                <w:woUserID w:val="1"/>
              </w:rPr>
              <w:t>方法</w:t>
            </w:r>
            <w:r>
              <w:rPr>
                <w:rFonts w:hint="default" w:ascii="Times New Roman" w:hAnsi="Times New Roman" w:eastAsia="宋体" w:cs="Times New Roman"/>
                <w:b w:val="0"/>
                <w:bCs w:val="0"/>
                <w:i w:val="0"/>
                <w:iCs w:val="0"/>
                <w:color w:val="000000"/>
                <w:sz w:val="24"/>
                <w:szCs w:val="24"/>
                <w:u w:val="none"/>
                <w:lang w:val="en-US" w:eastAsia="zh-CN"/>
              </w:rPr>
              <w:t>4</w:t>
            </w:r>
            <w:r>
              <w:rPr>
                <w:rFonts w:hint="default" w:ascii="Times New Roman" w:hAnsi="Times New Roman" w:eastAsia="宋体" w:cs="Times New Roman"/>
                <w:b w:val="0"/>
                <w:bCs w:val="0"/>
                <w:i w:val="0"/>
                <w:iCs w:val="0"/>
                <w:color w:val="000000"/>
                <w:sz w:val="24"/>
                <w:szCs w:val="24"/>
                <w:u w:val="none"/>
                <w:vertAlign w:val="superscript"/>
                <w:lang w:val="en-US" w:eastAsia="zh-CN"/>
              </w:rPr>
              <w:t>[2]</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8FE28">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lang w:val="en-US"/>
                <w:woUserID w:val="1"/>
              </w:rPr>
            </w:pPr>
            <w:r>
              <w:rPr>
                <w:rFonts w:hint="default" w:ascii="Times New Roman" w:hAnsi="Times New Roman" w:eastAsia="宋体" w:cs="Times New Roman"/>
                <w:b w:val="0"/>
                <w:bCs w:val="0"/>
                <w:i w:val="0"/>
                <w:iCs w:val="0"/>
                <w:color w:val="000000"/>
                <w:sz w:val="24"/>
                <w:szCs w:val="24"/>
                <w:u w:val="none"/>
                <w:lang w:val="en-US" w:eastAsia="zh"/>
                <w:woUserID w:val="1"/>
              </w:rPr>
              <w:t>方法 5</w:t>
            </w:r>
            <w:r>
              <w:rPr>
                <w:rFonts w:hint="default" w:ascii="Times New Roman" w:hAnsi="Times New Roman" w:eastAsia="宋体" w:cs="Times New Roman"/>
                <w:b w:val="0"/>
                <w:bCs w:val="0"/>
                <w:i w:val="0"/>
                <w:iCs w:val="0"/>
                <w:color w:val="000000"/>
                <w:sz w:val="24"/>
                <w:szCs w:val="24"/>
                <w:u w:val="none"/>
                <w:vertAlign w:val="superscript"/>
                <w:lang w:val="en-US" w:eastAsia="zh-CN"/>
              </w:rPr>
              <w:t>[9]</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B344AA">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woUserID w:val="1"/>
              </w:rPr>
            </w:pPr>
            <w:r>
              <w:rPr>
                <w:rFonts w:hint="default" w:ascii="Times New Roman" w:hAnsi="Times New Roman" w:eastAsia="宋体" w:cs="Times New Roman"/>
                <w:b w:val="0"/>
                <w:bCs w:val="0"/>
                <w:i w:val="0"/>
                <w:iCs w:val="0"/>
                <w:color w:val="000000"/>
                <w:sz w:val="24"/>
                <w:szCs w:val="24"/>
                <w:u w:val="none"/>
                <w:lang w:val="en-US" w:eastAsia="zh"/>
                <w:woUserID w:val="1"/>
              </w:rPr>
              <w:t>方法6</w:t>
            </w:r>
            <w:r>
              <w:rPr>
                <w:rFonts w:hint="default" w:ascii="Times New Roman" w:hAnsi="Times New Roman" w:eastAsia="宋体" w:cs="Times New Roman"/>
                <w:b w:val="0"/>
                <w:bCs w:val="0"/>
                <w:i w:val="0"/>
                <w:iCs w:val="0"/>
                <w:color w:val="000000"/>
                <w:sz w:val="24"/>
                <w:szCs w:val="24"/>
                <w:u w:val="none"/>
                <w:vertAlign w:val="superscript"/>
                <w:lang w:val="en-US" w:eastAsia="zh-CN"/>
              </w:rPr>
              <w:t>[10]</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712982">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lang w:val="en-US"/>
              </w:rPr>
            </w:pPr>
            <w:r>
              <w:rPr>
                <w:rFonts w:hint="default" w:ascii="Times New Roman" w:hAnsi="Times New Roman" w:eastAsia="宋体" w:cs="Times New Roman"/>
                <w:b w:val="0"/>
                <w:bCs w:val="0"/>
                <w:i w:val="0"/>
                <w:iCs w:val="0"/>
                <w:color w:val="000000"/>
                <w:kern w:val="0"/>
                <w:sz w:val="24"/>
                <w:szCs w:val="24"/>
                <w:u w:val="none"/>
                <w:lang w:val="en-US" w:eastAsia="zh-CN" w:bidi="ar"/>
              </w:rPr>
              <w:t>本标准</w:t>
            </w:r>
          </w:p>
        </w:tc>
      </w:tr>
      <w:tr w14:paraId="21FD0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14" w:hRule="atLeast"/>
        </w:trPr>
        <w:tc>
          <w:tcPr>
            <w:tcW w:w="16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11E2B">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排放/抵消</w:t>
            </w:r>
          </w:p>
        </w:tc>
        <w:tc>
          <w:tcPr>
            <w:tcW w:w="13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5E03B">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污水/污泥</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B87CC6">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系统边界（管网、泵站、厂界、污泥、出水）</w:t>
            </w:r>
          </w:p>
        </w:tc>
        <w:tc>
          <w:tcPr>
            <w:tcW w:w="674"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BC6EDC7">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属地管理原则，以企业法人或视同法人的独立核算单位为边界，与环境统计、温室气体统计工业企业核算边界保持一致。（厂界+污泥）</w:t>
            </w:r>
          </w:p>
        </w:tc>
        <w:tc>
          <w:tcPr>
            <w:tcW w:w="50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0B872E7">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报告主体经过行业主管部门核验通过，且稳定运行一年以上。（厂界+污泥）</w:t>
            </w:r>
          </w:p>
        </w:tc>
        <w:tc>
          <w:tcPr>
            <w:tcW w:w="410"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A98360B">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对市政排水系统收集的污水进行处理的设施</w:t>
            </w:r>
            <w:r>
              <w:rPr>
                <w:rFonts w:hint="default" w:ascii="Times New Roman" w:hAnsi="Times New Roman" w:eastAsia="宋体" w:cs="Times New Roman"/>
                <w:b w:val="0"/>
                <w:bCs w:val="0"/>
                <w:i w:val="0"/>
                <w:iCs w:val="0"/>
                <w:color w:val="000000"/>
                <w:kern w:val="0"/>
                <w:sz w:val="24"/>
                <w:szCs w:val="24"/>
                <w:u w:val="none"/>
                <w:lang w:val="en-US" w:eastAsia="zh-CN" w:bidi="ar"/>
              </w:rPr>
              <w:br w:type="textWrapping"/>
            </w:r>
            <w:r>
              <w:rPr>
                <w:rFonts w:hint="default" w:ascii="Times New Roman" w:hAnsi="Times New Roman" w:eastAsia="宋体" w:cs="Times New Roman"/>
                <w:b w:val="0"/>
                <w:bCs w:val="0"/>
                <w:i w:val="0"/>
                <w:iCs w:val="0"/>
                <w:color w:val="000000"/>
                <w:kern w:val="0"/>
                <w:sz w:val="24"/>
                <w:szCs w:val="24"/>
                <w:u w:val="none"/>
                <w:lang w:val="en-US" w:eastAsia="zh-CN" w:bidi="ar"/>
              </w:rPr>
              <w:t>（厂界+污泥）</w:t>
            </w:r>
          </w:p>
        </w:tc>
        <w:tc>
          <w:tcPr>
            <w:tcW w:w="74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E77BB12">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属地管理原则，核算空间边界设置为企业法人或独立核算的企业厂界，时间边界为核算城镇污水厂在运维阶段的碳排放。（厂界+污泥）</w:t>
            </w:r>
          </w:p>
        </w:tc>
        <w:tc>
          <w:tcPr>
            <w:tcW w:w="40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CD7DC44">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基于行政区域的温室气体核算（厂界+污泥+出水）</w:t>
            </w:r>
          </w:p>
        </w:tc>
        <w:tc>
          <w:tcPr>
            <w:tcW w:w="44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2CF9FAB">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 w:bidi="ar"/>
                <w:woUserID w:val="2"/>
              </w:rPr>
            </w:pPr>
            <w:r>
              <w:rPr>
                <w:rFonts w:hint="default" w:ascii="Times New Roman" w:hAnsi="Times New Roman" w:eastAsia="宋体" w:cs="Times New Roman"/>
                <w:b w:val="0"/>
                <w:bCs w:val="0"/>
                <w:i w:val="0"/>
                <w:iCs w:val="0"/>
                <w:color w:val="000000"/>
                <w:kern w:val="0"/>
                <w:sz w:val="24"/>
                <w:szCs w:val="24"/>
                <w:u w:val="none"/>
                <w:lang w:val="en-US" w:eastAsia="zh" w:bidi="ar"/>
                <w:woUserID w:val="2"/>
              </w:rPr>
              <w:t>主要包含城镇公用事业属性的市政给水、污水、再生水和雨水四个系统（管网、厂界、污泥）</w:t>
            </w:r>
          </w:p>
        </w:tc>
        <w:tc>
          <w:tcPr>
            <w:tcW w:w="61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9F44B8">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属地管理原则，以企业法人或视同法人的独立核算单位为边界，与环境统计、温室气体统计工业企业核算边界保持一致。</w:t>
            </w:r>
          </w:p>
        </w:tc>
      </w:tr>
      <w:tr w14:paraId="5FEB01E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268786">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排放端</w:t>
            </w:r>
          </w:p>
        </w:tc>
        <w:tc>
          <w:tcPr>
            <w:tcW w:w="1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C2CD7B">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污水</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5AC6599">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污水处理产生的CH</w:t>
            </w:r>
            <w:r>
              <w:rPr>
                <w:rFonts w:hint="default" w:ascii="Times New Roman" w:hAnsi="Times New Roman" w:eastAsia="宋体" w:cs="Times New Roman"/>
                <w:b w:val="0"/>
                <w:bCs w:val="0"/>
                <w:i w:val="0"/>
                <w:iCs w:val="0"/>
                <w:color w:val="000000"/>
                <w:kern w:val="0"/>
                <w:sz w:val="24"/>
                <w:szCs w:val="24"/>
                <w:u w:val="none"/>
                <w:vertAlign w:val="subscript"/>
                <w:lang w:val="en-US" w:eastAsia="zh-CN" w:bidi="ar"/>
              </w:rPr>
              <w:t>4</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78B95D">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A2FC89">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0F9228">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F07C9">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9144C">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3CFF4">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woUserID w:val="2"/>
              </w:rPr>
              <w:t>√</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72336D">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w:t>
            </w:r>
          </w:p>
        </w:tc>
      </w:tr>
      <w:tr w14:paraId="7E89D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60" w:hRule="atLeast"/>
        </w:trPr>
        <w:tc>
          <w:tcPr>
            <w:tcW w:w="1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6BE7B4">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1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10184">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6BD083">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污水处理的CH</w:t>
            </w:r>
            <w:r>
              <w:rPr>
                <w:rFonts w:hint="default" w:ascii="Times New Roman" w:hAnsi="Times New Roman" w:eastAsia="宋体" w:cs="Times New Roman"/>
                <w:b w:val="0"/>
                <w:bCs w:val="0"/>
                <w:i w:val="0"/>
                <w:iCs w:val="0"/>
                <w:color w:val="000000"/>
                <w:kern w:val="0"/>
                <w:sz w:val="24"/>
                <w:szCs w:val="24"/>
                <w:u w:val="none"/>
                <w:vertAlign w:val="subscript"/>
                <w:lang w:val="en-US" w:eastAsia="zh-CN" w:bidi="ar"/>
              </w:rPr>
              <w:t>4</w:t>
            </w:r>
            <w:r>
              <w:rPr>
                <w:rFonts w:hint="default" w:ascii="Times New Roman" w:hAnsi="Times New Roman" w:eastAsia="宋体" w:cs="Times New Roman"/>
                <w:b w:val="0"/>
                <w:bCs w:val="0"/>
                <w:i w:val="0"/>
                <w:iCs w:val="0"/>
                <w:color w:val="000000"/>
                <w:kern w:val="0"/>
                <w:sz w:val="24"/>
                <w:szCs w:val="24"/>
                <w:u w:val="none"/>
                <w:lang w:val="en-US" w:eastAsia="zh-CN" w:bidi="ar"/>
              </w:rPr>
              <w:t>回收</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AEF73">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B2D877">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0DCC2">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502E8E">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FD6A0">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D32926">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woUserID w:val="2"/>
              </w:rPr>
              <w:t>√</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8F01F8">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w:t>
            </w:r>
          </w:p>
        </w:tc>
      </w:tr>
      <w:tr w14:paraId="3E4D543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80" w:hRule="atLeast"/>
        </w:trPr>
        <w:tc>
          <w:tcPr>
            <w:tcW w:w="1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AC6E8">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1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788BD">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2F47ABA">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污水处理产生的N</w:t>
            </w:r>
            <w:r>
              <w:rPr>
                <w:rFonts w:hint="default" w:ascii="Times New Roman" w:hAnsi="Times New Roman" w:eastAsia="宋体" w:cs="Times New Roman"/>
                <w:b w:val="0"/>
                <w:bCs w:val="0"/>
                <w:i w:val="0"/>
                <w:iCs w:val="0"/>
                <w:color w:val="000000"/>
                <w:kern w:val="0"/>
                <w:sz w:val="24"/>
                <w:szCs w:val="24"/>
                <w:u w:val="none"/>
                <w:vertAlign w:val="subscript"/>
                <w:lang w:val="en-US" w:eastAsia="zh-CN" w:bidi="ar"/>
              </w:rPr>
              <w:t>2</w:t>
            </w:r>
            <w:r>
              <w:rPr>
                <w:rFonts w:hint="default" w:ascii="Times New Roman" w:hAnsi="Times New Roman" w:eastAsia="宋体" w:cs="Times New Roman"/>
                <w:b w:val="0"/>
                <w:bCs w:val="0"/>
                <w:i w:val="0"/>
                <w:iCs w:val="0"/>
                <w:color w:val="000000"/>
                <w:kern w:val="0"/>
                <w:sz w:val="24"/>
                <w:szCs w:val="24"/>
                <w:u w:val="none"/>
                <w:lang w:val="en-US" w:eastAsia="zh-CN" w:bidi="ar"/>
              </w:rPr>
              <w:t>O</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DDEC3">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0BF5F">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2E04FE">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2F5C4">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6B8EF">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7D8D9">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woUserID w:val="2"/>
              </w:rPr>
              <w:t>√</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A378F">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w:t>
            </w:r>
          </w:p>
        </w:tc>
      </w:tr>
      <w:tr w14:paraId="54B3492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B4EBE">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1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9B176A">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污泥</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8F8D764">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污泥焚烧处置产生的CH</w:t>
            </w:r>
            <w:r>
              <w:rPr>
                <w:rFonts w:hint="default" w:ascii="Times New Roman" w:hAnsi="Times New Roman" w:eastAsia="宋体" w:cs="Times New Roman"/>
                <w:b w:val="0"/>
                <w:bCs w:val="0"/>
                <w:i w:val="0"/>
                <w:iCs w:val="0"/>
                <w:color w:val="000000"/>
                <w:kern w:val="0"/>
                <w:sz w:val="24"/>
                <w:szCs w:val="24"/>
                <w:u w:val="none"/>
                <w:vertAlign w:val="subscript"/>
                <w:lang w:val="en-US" w:eastAsia="zh-CN" w:bidi="ar"/>
              </w:rPr>
              <w:t>4</w:t>
            </w:r>
            <w:r>
              <w:rPr>
                <w:rFonts w:hint="default" w:ascii="Times New Roman" w:hAnsi="Times New Roman" w:eastAsia="宋体" w:cs="Times New Roman"/>
                <w:b w:val="0"/>
                <w:bCs w:val="0"/>
                <w:i w:val="0"/>
                <w:iCs w:val="0"/>
                <w:color w:val="000000"/>
                <w:kern w:val="0"/>
                <w:sz w:val="24"/>
                <w:szCs w:val="24"/>
                <w:u w:val="none"/>
                <w:lang w:val="en-US" w:eastAsia="zh-CN" w:bidi="ar"/>
              </w:rPr>
              <w:t>和N</w:t>
            </w:r>
            <w:r>
              <w:rPr>
                <w:rFonts w:hint="default" w:ascii="Times New Roman" w:hAnsi="Times New Roman" w:eastAsia="宋体" w:cs="Times New Roman"/>
                <w:b w:val="0"/>
                <w:bCs w:val="0"/>
                <w:i w:val="0"/>
                <w:iCs w:val="0"/>
                <w:color w:val="000000"/>
                <w:kern w:val="0"/>
                <w:sz w:val="24"/>
                <w:szCs w:val="24"/>
                <w:u w:val="none"/>
                <w:vertAlign w:val="subscript"/>
                <w:lang w:val="en-US" w:eastAsia="zh-CN" w:bidi="ar"/>
              </w:rPr>
              <w:t>2</w:t>
            </w:r>
            <w:r>
              <w:rPr>
                <w:rFonts w:hint="default" w:ascii="Times New Roman" w:hAnsi="Times New Roman" w:eastAsia="宋体" w:cs="Times New Roman"/>
                <w:b w:val="0"/>
                <w:bCs w:val="0"/>
                <w:i w:val="0"/>
                <w:iCs w:val="0"/>
                <w:color w:val="000000"/>
                <w:kern w:val="0"/>
                <w:sz w:val="24"/>
                <w:szCs w:val="24"/>
                <w:u w:val="none"/>
                <w:lang w:val="en-US" w:eastAsia="zh-CN" w:bidi="ar"/>
              </w:rPr>
              <w:t>O</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76218">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4DAED">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C3560">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25A0B">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71FF0">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2AF74">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woUserID w:val="2"/>
              </w:rPr>
              <w:t>√</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C50DF3">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w:t>
            </w:r>
          </w:p>
        </w:tc>
      </w:tr>
      <w:tr w14:paraId="59D16F12">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A7CB8">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1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DA4C6">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E69E403">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污泥浓缩脱水产生的CH</w:t>
            </w:r>
            <w:r>
              <w:rPr>
                <w:rFonts w:hint="default" w:ascii="Times New Roman" w:hAnsi="Times New Roman" w:eastAsia="宋体" w:cs="Times New Roman"/>
                <w:b w:val="0"/>
                <w:bCs w:val="0"/>
                <w:i w:val="0"/>
                <w:iCs w:val="0"/>
                <w:color w:val="000000"/>
                <w:kern w:val="0"/>
                <w:sz w:val="24"/>
                <w:szCs w:val="24"/>
                <w:u w:val="none"/>
                <w:vertAlign w:val="subscript"/>
                <w:lang w:val="en-US" w:eastAsia="zh-CN" w:bidi="ar"/>
              </w:rPr>
              <w:t>4</w:t>
            </w:r>
            <w:r>
              <w:rPr>
                <w:rFonts w:hint="default" w:ascii="Times New Roman" w:hAnsi="Times New Roman" w:eastAsia="宋体" w:cs="Times New Roman"/>
                <w:b w:val="0"/>
                <w:bCs w:val="0"/>
                <w:i w:val="0"/>
                <w:iCs w:val="0"/>
                <w:color w:val="000000"/>
                <w:kern w:val="0"/>
                <w:sz w:val="24"/>
                <w:szCs w:val="24"/>
                <w:u w:val="none"/>
                <w:lang w:val="en-US" w:eastAsia="zh-CN" w:bidi="ar"/>
              </w:rPr>
              <w:t>和N</w:t>
            </w:r>
            <w:r>
              <w:rPr>
                <w:rFonts w:hint="default" w:ascii="Times New Roman" w:hAnsi="Times New Roman" w:eastAsia="宋体" w:cs="Times New Roman"/>
                <w:b w:val="0"/>
                <w:bCs w:val="0"/>
                <w:i w:val="0"/>
                <w:iCs w:val="0"/>
                <w:color w:val="000000"/>
                <w:kern w:val="0"/>
                <w:sz w:val="24"/>
                <w:szCs w:val="24"/>
                <w:u w:val="none"/>
                <w:vertAlign w:val="subscript"/>
                <w:lang w:val="en-US" w:eastAsia="zh-CN" w:bidi="ar"/>
              </w:rPr>
              <w:t>2</w:t>
            </w:r>
            <w:r>
              <w:rPr>
                <w:rFonts w:hint="default" w:ascii="Times New Roman" w:hAnsi="Times New Roman" w:eastAsia="宋体" w:cs="Times New Roman"/>
                <w:b w:val="0"/>
                <w:bCs w:val="0"/>
                <w:i w:val="0"/>
                <w:iCs w:val="0"/>
                <w:color w:val="000000"/>
                <w:kern w:val="0"/>
                <w:sz w:val="24"/>
                <w:szCs w:val="24"/>
                <w:u w:val="none"/>
                <w:lang w:val="en-US" w:eastAsia="zh-CN" w:bidi="ar"/>
              </w:rPr>
              <w:t>O</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A56CA">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A48F4">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C6A74">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2782AB">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7F0D9B">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D0B4F">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8F671">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w:t>
            </w:r>
          </w:p>
        </w:tc>
      </w:tr>
      <w:tr w14:paraId="3FBBCB0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0" w:hRule="atLeast"/>
        </w:trPr>
        <w:tc>
          <w:tcPr>
            <w:tcW w:w="1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93013">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1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75F92">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539679C">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污泥干化产生的CH</w:t>
            </w:r>
            <w:r>
              <w:rPr>
                <w:rFonts w:hint="default" w:ascii="Times New Roman" w:hAnsi="Times New Roman" w:eastAsia="宋体" w:cs="Times New Roman"/>
                <w:b w:val="0"/>
                <w:bCs w:val="0"/>
                <w:i w:val="0"/>
                <w:iCs w:val="0"/>
                <w:color w:val="000000"/>
                <w:kern w:val="0"/>
                <w:sz w:val="24"/>
                <w:szCs w:val="24"/>
                <w:u w:val="none"/>
                <w:vertAlign w:val="subscript"/>
                <w:lang w:val="en-US" w:eastAsia="zh-CN" w:bidi="ar"/>
              </w:rPr>
              <w:t>4</w:t>
            </w:r>
            <w:r>
              <w:rPr>
                <w:rFonts w:hint="default" w:ascii="Times New Roman" w:hAnsi="Times New Roman" w:eastAsia="宋体" w:cs="Times New Roman"/>
                <w:b w:val="0"/>
                <w:bCs w:val="0"/>
                <w:i w:val="0"/>
                <w:iCs w:val="0"/>
                <w:color w:val="000000"/>
                <w:kern w:val="0"/>
                <w:sz w:val="24"/>
                <w:szCs w:val="24"/>
                <w:u w:val="none"/>
                <w:lang w:val="en-US" w:eastAsia="zh-CN" w:bidi="ar"/>
              </w:rPr>
              <w:t>和N</w:t>
            </w:r>
            <w:r>
              <w:rPr>
                <w:rFonts w:hint="default" w:ascii="Times New Roman" w:hAnsi="Times New Roman" w:eastAsia="宋体" w:cs="Times New Roman"/>
                <w:b w:val="0"/>
                <w:bCs w:val="0"/>
                <w:i w:val="0"/>
                <w:iCs w:val="0"/>
                <w:color w:val="000000"/>
                <w:kern w:val="0"/>
                <w:sz w:val="24"/>
                <w:szCs w:val="24"/>
                <w:u w:val="none"/>
                <w:vertAlign w:val="subscript"/>
                <w:lang w:val="en-US" w:eastAsia="zh-CN" w:bidi="ar"/>
              </w:rPr>
              <w:t>2</w:t>
            </w:r>
            <w:r>
              <w:rPr>
                <w:rFonts w:hint="default" w:ascii="Times New Roman" w:hAnsi="Times New Roman" w:eastAsia="宋体" w:cs="Times New Roman"/>
                <w:b w:val="0"/>
                <w:bCs w:val="0"/>
                <w:i w:val="0"/>
                <w:iCs w:val="0"/>
                <w:color w:val="000000"/>
                <w:kern w:val="0"/>
                <w:sz w:val="24"/>
                <w:szCs w:val="24"/>
                <w:u w:val="none"/>
                <w:lang w:val="en-US" w:eastAsia="zh-CN" w:bidi="ar"/>
              </w:rPr>
              <w:t>O</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1A6A0">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21D57">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FB3E8">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2D0BB7">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F815C">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5E6DA">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DC16C">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w:t>
            </w:r>
          </w:p>
        </w:tc>
      </w:tr>
      <w:tr w14:paraId="4BA2D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445442">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1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86E859">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6233512">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污泥厌氧消化产生的CH</w:t>
            </w:r>
            <w:r>
              <w:rPr>
                <w:rFonts w:hint="default" w:ascii="Times New Roman" w:hAnsi="Times New Roman" w:eastAsia="宋体" w:cs="Times New Roman"/>
                <w:b w:val="0"/>
                <w:bCs w:val="0"/>
                <w:i w:val="0"/>
                <w:iCs w:val="0"/>
                <w:color w:val="000000"/>
                <w:kern w:val="0"/>
                <w:sz w:val="24"/>
                <w:szCs w:val="24"/>
                <w:u w:val="none"/>
                <w:vertAlign w:val="subscript"/>
                <w:lang w:val="en-US" w:eastAsia="zh-CN" w:bidi="ar"/>
              </w:rPr>
              <w:t>4</w:t>
            </w:r>
            <w:r>
              <w:rPr>
                <w:rFonts w:hint="default" w:ascii="Times New Roman" w:hAnsi="Times New Roman" w:eastAsia="宋体" w:cs="Times New Roman"/>
                <w:b w:val="0"/>
                <w:bCs w:val="0"/>
                <w:i w:val="0"/>
                <w:iCs w:val="0"/>
                <w:color w:val="000000"/>
                <w:kern w:val="0"/>
                <w:sz w:val="24"/>
                <w:szCs w:val="24"/>
                <w:u w:val="none"/>
                <w:lang w:val="en-US" w:eastAsia="zh-CN" w:bidi="ar"/>
              </w:rPr>
              <w:t>和N</w:t>
            </w:r>
            <w:r>
              <w:rPr>
                <w:rFonts w:hint="default" w:ascii="Times New Roman" w:hAnsi="Times New Roman" w:eastAsia="宋体" w:cs="Times New Roman"/>
                <w:b w:val="0"/>
                <w:bCs w:val="0"/>
                <w:i w:val="0"/>
                <w:iCs w:val="0"/>
                <w:color w:val="000000"/>
                <w:kern w:val="0"/>
                <w:sz w:val="24"/>
                <w:szCs w:val="24"/>
                <w:u w:val="none"/>
                <w:vertAlign w:val="subscript"/>
                <w:lang w:val="en-US" w:eastAsia="zh-CN" w:bidi="ar"/>
              </w:rPr>
              <w:t>2</w:t>
            </w:r>
            <w:r>
              <w:rPr>
                <w:rFonts w:hint="default" w:ascii="Times New Roman" w:hAnsi="Times New Roman" w:eastAsia="宋体" w:cs="Times New Roman"/>
                <w:b w:val="0"/>
                <w:bCs w:val="0"/>
                <w:i w:val="0"/>
                <w:iCs w:val="0"/>
                <w:color w:val="000000"/>
                <w:kern w:val="0"/>
                <w:sz w:val="24"/>
                <w:szCs w:val="24"/>
                <w:u w:val="none"/>
                <w:lang w:val="en-US" w:eastAsia="zh-CN" w:bidi="ar"/>
              </w:rPr>
              <w:t>O</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402863">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C9823">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C8B68">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CF177">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9BFFB">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95F67">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firstLine="0" w:firstLineChars="0"/>
              <w:jc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woUserID w:val="2"/>
              </w:rPr>
              <w:t>√</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CEB1C6">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w:t>
            </w:r>
          </w:p>
        </w:tc>
      </w:tr>
      <w:tr w14:paraId="311F0121">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0" w:hRule="atLeast"/>
        </w:trPr>
        <w:tc>
          <w:tcPr>
            <w:tcW w:w="1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3F3796">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1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FA126">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F1F33D7">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污泥好氧发酵产生的CH</w:t>
            </w:r>
            <w:r>
              <w:rPr>
                <w:rFonts w:hint="default" w:ascii="Times New Roman" w:hAnsi="Times New Roman" w:eastAsia="宋体" w:cs="Times New Roman"/>
                <w:b w:val="0"/>
                <w:bCs w:val="0"/>
                <w:i w:val="0"/>
                <w:iCs w:val="0"/>
                <w:color w:val="000000"/>
                <w:kern w:val="0"/>
                <w:sz w:val="24"/>
                <w:szCs w:val="24"/>
                <w:u w:val="none"/>
                <w:vertAlign w:val="subscript"/>
                <w:lang w:val="en-US" w:eastAsia="zh-CN" w:bidi="ar"/>
              </w:rPr>
              <w:t>4</w:t>
            </w:r>
            <w:r>
              <w:rPr>
                <w:rFonts w:hint="default" w:ascii="Times New Roman" w:hAnsi="Times New Roman" w:eastAsia="宋体" w:cs="Times New Roman"/>
                <w:b w:val="0"/>
                <w:bCs w:val="0"/>
                <w:i w:val="0"/>
                <w:iCs w:val="0"/>
                <w:color w:val="000000"/>
                <w:kern w:val="0"/>
                <w:sz w:val="24"/>
                <w:szCs w:val="24"/>
                <w:u w:val="none"/>
                <w:lang w:val="en-US" w:eastAsia="zh-CN" w:bidi="ar"/>
              </w:rPr>
              <w:t>和N</w:t>
            </w:r>
            <w:r>
              <w:rPr>
                <w:rFonts w:hint="default" w:ascii="Times New Roman" w:hAnsi="Times New Roman" w:eastAsia="宋体" w:cs="Times New Roman"/>
                <w:b w:val="0"/>
                <w:bCs w:val="0"/>
                <w:i w:val="0"/>
                <w:iCs w:val="0"/>
                <w:color w:val="000000"/>
                <w:kern w:val="0"/>
                <w:sz w:val="24"/>
                <w:szCs w:val="24"/>
                <w:u w:val="none"/>
                <w:vertAlign w:val="subscript"/>
                <w:lang w:val="en-US" w:eastAsia="zh-CN" w:bidi="ar"/>
              </w:rPr>
              <w:t>2</w:t>
            </w:r>
            <w:r>
              <w:rPr>
                <w:rFonts w:hint="default" w:ascii="Times New Roman" w:hAnsi="Times New Roman" w:eastAsia="宋体" w:cs="Times New Roman"/>
                <w:b w:val="0"/>
                <w:bCs w:val="0"/>
                <w:i w:val="0"/>
                <w:iCs w:val="0"/>
                <w:color w:val="000000"/>
                <w:kern w:val="0"/>
                <w:sz w:val="24"/>
                <w:szCs w:val="24"/>
                <w:u w:val="none"/>
                <w:lang w:val="en-US" w:eastAsia="zh-CN" w:bidi="ar"/>
              </w:rPr>
              <w:t>O</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687B3">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BDE89">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397AC4">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C854F">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EF65F">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A588EE">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firstLine="0" w:firstLineChars="0"/>
              <w:jc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woUserID w:val="2"/>
              </w:rPr>
              <w:t>√</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8BA0B2">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w:t>
            </w:r>
          </w:p>
        </w:tc>
      </w:tr>
      <w:tr w14:paraId="106A9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07EB1">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1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744986">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污水+污泥</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E25CB88">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化石燃料燃烧产生的CO</w:t>
            </w:r>
            <w:r>
              <w:rPr>
                <w:rFonts w:hint="default" w:ascii="Times New Roman" w:hAnsi="Times New Roman" w:eastAsia="宋体" w:cs="Times New Roman"/>
                <w:b w:val="0"/>
                <w:bCs w:val="0"/>
                <w:i w:val="0"/>
                <w:iCs w:val="0"/>
                <w:color w:val="000000"/>
                <w:kern w:val="0"/>
                <w:sz w:val="24"/>
                <w:szCs w:val="24"/>
                <w:u w:val="none"/>
                <w:vertAlign w:val="subscript"/>
                <w:lang w:val="en-US" w:eastAsia="zh-CN" w:bidi="ar"/>
              </w:rPr>
              <w:t>2</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036012">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CC384">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3E360B">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CD58A">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E2E97">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4019F">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woUserID w:val="2"/>
              </w:rPr>
              <w:t>√</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EC896C">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w:t>
            </w:r>
          </w:p>
        </w:tc>
      </w:tr>
      <w:tr w14:paraId="0B6752D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20" w:hRule="atLeast"/>
        </w:trPr>
        <w:tc>
          <w:tcPr>
            <w:tcW w:w="1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1DE97">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1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F8E0">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1CD375">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出水阶段排入环境的CH</w:t>
            </w:r>
            <w:r>
              <w:rPr>
                <w:rFonts w:hint="default" w:ascii="Times New Roman" w:hAnsi="Times New Roman" w:eastAsia="宋体" w:cs="Times New Roman"/>
                <w:b w:val="0"/>
                <w:bCs w:val="0"/>
                <w:i w:val="0"/>
                <w:iCs w:val="0"/>
                <w:color w:val="000000"/>
                <w:kern w:val="0"/>
                <w:sz w:val="24"/>
                <w:szCs w:val="24"/>
                <w:u w:val="none"/>
                <w:vertAlign w:val="subscript"/>
                <w:lang w:val="en-US" w:eastAsia="zh-CN" w:bidi="ar"/>
              </w:rPr>
              <w:t>4</w:t>
            </w:r>
            <w:r>
              <w:rPr>
                <w:rFonts w:hint="default" w:ascii="Times New Roman" w:hAnsi="Times New Roman" w:eastAsia="宋体" w:cs="Times New Roman"/>
                <w:b w:val="0"/>
                <w:bCs w:val="0"/>
                <w:i w:val="0"/>
                <w:iCs w:val="0"/>
                <w:color w:val="000000"/>
                <w:kern w:val="0"/>
                <w:sz w:val="24"/>
                <w:szCs w:val="24"/>
                <w:u w:val="none"/>
                <w:lang w:val="en-US" w:eastAsia="zh-CN" w:bidi="ar"/>
              </w:rPr>
              <w:t>和N</w:t>
            </w:r>
            <w:r>
              <w:rPr>
                <w:rFonts w:hint="default" w:ascii="Times New Roman" w:hAnsi="Times New Roman" w:eastAsia="宋体" w:cs="Times New Roman"/>
                <w:b w:val="0"/>
                <w:bCs w:val="0"/>
                <w:i w:val="0"/>
                <w:iCs w:val="0"/>
                <w:color w:val="000000"/>
                <w:kern w:val="0"/>
                <w:sz w:val="24"/>
                <w:szCs w:val="24"/>
                <w:u w:val="none"/>
                <w:vertAlign w:val="subscript"/>
                <w:lang w:val="en-US" w:eastAsia="zh-CN" w:bidi="ar"/>
              </w:rPr>
              <w:t>2</w:t>
            </w:r>
            <w:r>
              <w:rPr>
                <w:rFonts w:hint="default" w:ascii="Times New Roman" w:hAnsi="Times New Roman" w:eastAsia="宋体" w:cs="Times New Roman"/>
                <w:b w:val="0"/>
                <w:bCs w:val="0"/>
                <w:i w:val="0"/>
                <w:iCs w:val="0"/>
                <w:color w:val="000000"/>
                <w:kern w:val="0"/>
                <w:sz w:val="24"/>
                <w:szCs w:val="24"/>
                <w:u w:val="none"/>
                <w:lang w:val="en-US" w:eastAsia="zh-CN" w:bidi="ar"/>
              </w:rPr>
              <w:t>O</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18433">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826F5">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8D34F7">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A4109">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7A64D6">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2CE534">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70488D">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rPr>
                <w:rFonts w:hint="default" w:ascii="Times New Roman" w:hAnsi="Times New Roman" w:eastAsia="宋体" w:cs="Times New Roman"/>
                <w:b w:val="0"/>
                <w:bCs w:val="0"/>
                <w:i w:val="0"/>
                <w:iCs w:val="0"/>
                <w:color w:val="000000"/>
                <w:sz w:val="24"/>
                <w:szCs w:val="24"/>
                <w:u w:val="none"/>
              </w:rPr>
            </w:pPr>
          </w:p>
        </w:tc>
      </w:tr>
      <w:tr w14:paraId="786BA348">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0" w:hRule="atLeast"/>
        </w:trPr>
        <w:tc>
          <w:tcPr>
            <w:tcW w:w="1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55553">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1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5602D">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C37FE8E">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电力消耗产生的CO</w:t>
            </w:r>
            <w:r>
              <w:rPr>
                <w:rFonts w:hint="default" w:ascii="Times New Roman" w:hAnsi="Times New Roman" w:eastAsia="宋体" w:cs="Times New Roman"/>
                <w:b w:val="0"/>
                <w:bCs w:val="0"/>
                <w:i w:val="0"/>
                <w:iCs w:val="0"/>
                <w:color w:val="000000"/>
                <w:kern w:val="0"/>
                <w:sz w:val="24"/>
                <w:szCs w:val="24"/>
                <w:u w:val="none"/>
                <w:vertAlign w:val="subscript"/>
                <w:lang w:val="en-US" w:eastAsia="zh-CN" w:bidi="ar"/>
              </w:rPr>
              <w:t>2</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29F63C">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1DC85A">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A8B09C">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3C5F6">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45563">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F8559B">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woUserID w:val="2"/>
              </w:rPr>
              <w:t>√</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EA6A27">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w:t>
            </w:r>
          </w:p>
        </w:tc>
      </w:tr>
      <w:tr w14:paraId="2C4D979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1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F1999">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1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FBEE0">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B7651">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热力消耗产生的CO</w:t>
            </w:r>
            <w:r>
              <w:rPr>
                <w:rFonts w:hint="default" w:ascii="Times New Roman" w:hAnsi="Times New Roman" w:eastAsia="宋体" w:cs="Times New Roman"/>
                <w:b w:val="0"/>
                <w:bCs w:val="0"/>
                <w:i w:val="0"/>
                <w:iCs w:val="0"/>
                <w:color w:val="000000"/>
                <w:kern w:val="0"/>
                <w:sz w:val="24"/>
                <w:szCs w:val="24"/>
                <w:u w:val="none"/>
                <w:vertAlign w:val="subscript"/>
                <w:lang w:val="en-US" w:eastAsia="zh-CN" w:bidi="ar"/>
              </w:rPr>
              <w:t>2</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C47CC5">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2637D7">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5F177">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E8B8E">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27399">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w:t>
            </w: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E196B">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firstLine="0" w:firstLineChars="0"/>
              <w:jc w:val="center"/>
              <w:textAlignment w:val="center"/>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CN" w:bidi="ar"/>
                <w:woUserID w:val="2"/>
              </w:rPr>
              <w:t>√</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9E4A9">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w:t>
            </w:r>
          </w:p>
        </w:tc>
      </w:tr>
      <w:tr w14:paraId="78AE85C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D10A3">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1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0D3091">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6BA9FED">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left"/>
              <w:textAlignment w:val="center"/>
              <w:rPr>
                <w:rFonts w:hint="default" w:ascii="Times New Roman" w:hAnsi="Times New Roman" w:eastAsia="宋体" w:cs="Times New Roman"/>
                <w:b w:val="0"/>
                <w:bCs w:val="0"/>
                <w:i w:val="0"/>
                <w:iCs w:val="0"/>
                <w:color w:val="000000"/>
                <w:sz w:val="24"/>
                <w:szCs w:val="24"/>
                <w:highlight w:val="none"/>
                <w:u w:val="none"/>
              </w:rPr>
            </w:pPr>
            <w:r>
              <w:rPr>
                <w:rFonts w:hint="default" w:ascii="Times New Roman" w:hAnsi="Times New Roman" w:eastAsia="宋体" w:cs="Times New Roman"/>
                <w:b w:val="0"/>
                <w:bCs w:val="0"/>
                <w:i w:val="0"/>
                <w:iCs w:val="0"/>
                <w:color w:val="000000"/>
                <w:kern w:val="0"/>
                <w:sz w:val="24"/>
                <w:szCs w:val="24"/>
                <w:highlight w:val="none"/>
                <w:u w:val="none"/>
                <w:lang w:val="en-US" w:eastAsia="zh-CN" w:bidi="ar"/>
              </w:rPr>
              <w:t>运行中各类物耗产生的CO</w:t>
            </w:r>
            <w:r>
              <w:rPr>
                <w:rFonts w:hint="default" w:ascii="Times New Roman" w:hAnsi="Times New Roman" w:eastAsia="宋体" w:cs="Times New Roman"/>
                <w:b w:val="0"/>
                <w:bCs w:val="0"/>
                <w:i w:val="0"/>
                <w:iCs w:val="0"/>
                <w:color w:val="000000"/>
                <w:kern w:val="0"/>
                <w:sz w:val="24"/>
                <w:szCs w:val="24"/>
                <w:highlight w:val="none"/>
                <w:u w:val="none"/>
                <w:vertAlign w:val="subscript"/>
                <w:lang w:val="en-US" w:eastAsia="zh-CN" w:bidi="ar"/>
              </w:rPr>
              <w:t>2</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C99D2">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highlight w:val="none"/>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71D911">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highlight w:val="none"/>
                <w:u w:val="none"/>
              </w:rPr>
            </w:pPr>
            <w:r>
              <w:rPr>
                <w:rFonts w:hint="default" w:ascii="Times New Roman" w:hAnsi="Times New Roman" w:eastAsia="宋体" w:cs="Times New Roman"/>
                <w:b w:val="0"/>
                <w:bCs w:val="0"/>
                <w:i w:val="0"/>
                <w:iCs w:val="0"/>
                <w:color w:val="000000"/>
                <w:kern w:val="0"/>
                <w:sz w:val="24"/>
                <w:szCs w:val="24"/>
                <w:highlight w:val="none"/>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F6233">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highlight w:val="none"/>
                <w:u w:val="none"/>
              </w:rPr>
            </w:pPr>
            <w:r>
              <w:rPr>
                <w:rFonts w:hint="default" w:ascii="Times New Roman" w:hAnsi="Times New Roman" w:eastAsia="宋体" w:cs="Times New Roman"/>
                <w:b w:val="0"/>
                <w:bCs w:val="0"/>
                <w:i w:val="0"/>
                <w:iCs w:val="0"/>
                <w:color w:val="000000"/>
                <w:kern w:val="0"/>
                <w:sz w:val="24"/>
                <w:szCs w:val="24"/>
                <w:highlight w:val="none"/>
                <w:u w:val="none"/>
                <w:lang w:val="en-US" w:eastAsia="zh-CN" w:bidi="ar"/>
              </w:rPr>
              <w:t>√</w:t>
            </w: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AF144">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highlight w:val="none"/>
                <w:u w:val="none"/>
              </w:rPr>
            </w:pPr>
            <w:r>
              <w:rPr>
                <w:rFonts w:hint="default" w:ascii="Times New Roman" w:hAnsi="Times New Roman" w:eastAsia="宋体" w:cs="Times New Roman"/>
                <w:b w:val="0"/>
                <w:bCs w:val="0"/>
                <w:i w:val="0"/>
                <w:iCs w:val="0"/>
                <w:color w:val="000000"/>
                <w:kern w:val="0"/>
                <w:sz w:val="24"/>
                <w:szCs w:val="24"/>
                <w:highlight w:val="none"/>
                <w:u w:val="none"/>
                <w:lang w:val="en-US" w:eastAsia="zh-CN" w:bidi="ar"/>
              </w:rPr>
              <w:t>√</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83E57">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rPr>
                <w:rFonts w:hint="default" w:ascii="Times New Roman" w:hAnsi="Times New Roman" w:eastAsia="宋体" w:cs="Times New Roman"/>
                <w:b w:val="0"/>
                <w:bCs w:val="0"/>
                <w:i w:val="0"/>
                <w:iCs w:val="0"/>
                <w:color w:val="000000"/>
                <w:sz w:val="24"/>
                <w:szCs w:val="24"/>
                <w:highlight w:val="none"/>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382CC">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firstLine="0" w:firstLineChars="0"/>
              <w:jc w:val="center"/>
              <w:rPr>
                <w:rFonts w:hint="default" w:ascii="Times New Roman" w:hAnsi="Times New Roman" w:eastAsia="宋体" w:cs="Times New Roman"/>
                <w:b w:val="0"/>
                <w:bCs w:val="0"/>
                <w:i w:val="0"/>
                <w:iCs w:val="0"/>
                <w:color w:val="000000"/>
                <w:sz w:val="24"/>
                <w:szCs w:val="24"/>
                <w:highlight w:val="none"/>
                <w:u w:val="none"/>
              </w:rPr>
            </w:pPr>
            <w:r>
              <w:rPr>
                <w:rFonts w:hint="default" w:ascii="Times New Roman" w:hAnsi="Times New Roman" w:eastAsia="宋体" w:cs="Times New Roman"/>
                <w:b w:val="0"/>
                <w:bCs w:val="0"/>
                <w:i w:val="0"/>
                <w:iCs w:val="0"/>
                <w:color w:val="000000"/>
                <w:kern w:val="0"/>
                <w:sz w:val="24"/>
                <w:szCs w:val="24"/>
                <w:highlight w:val="none"/>
                <w:u w:val="none"/>
                <w:lang w:val="en-US" w:eastAsia="zh-CN" w:bidi="ar"/>
                <w:woUserID w:val="2"/>
              </w:rPr>
              <w:t>√</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B130E7">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highlight w:val="none"/>
                <w:u w:val="none"/>
              </w:rPr>
            </w:pPr>
            <w:r>
              <w:rPr>
                <w:rFonts w:hint="default" w:ascii="Times New Roman" w:hAnsi="Times New Roman" w:eastAsia="宋体" w:cs="Times New Roman"/>
                <w:b w:val="0"/>
                <w:bCs w:val="0"/>
                <w:i w:val="0"/>
                <w:iCs w:val="0"/>
                <w:color w:val="000000"/>
                <w:kern w:val="0"/>
                <w:sz w:val="24"/>
                <w:szCs w:val="24"/>
                <w:highlight w:val="none"/>
                <w:u w:val="none"/>
                <w:lang w:val="en-US" w:eastAsia="zh-CN" w:bidi="ar"/>
              </w:rPr>
              <w:t>√</w:t>
            </w:r>
          </w:p>
        </w:tc>
      </w:tr>
      <w:tr w14:paraId="7A3642D9">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80" w:hRule="atLeast"/>
        </w:trPr>
        <w:tc>
          <w:tcPr>
            <w:tcW w:w="164"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4650D">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抵消端</w:t>
            </w:r>
          </w:p>
        </w:tc>
        <w:tc>
          <w:tcPr>
            <w:tcW w:w="13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44F9B">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污水+污泥</w:t>
            </w: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B89090B">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减碳：技术减少的碳排放</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110A81">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E5990B">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D6F0BE">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2059A">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41C8C">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rPr>
                <w:rFonts w:hint="default" w:ascii="Times New Roman" w:hAnsi="Times New Roman" w:eastAsia="宋体" w:cs="Times New Roman"/>
                <w:b w:val="0"/>
                <w:bCs w:val="0"/>
                <w:i w:val="0"/>
                <w:iCs w:val="0"/>
                <w:color w:val="000000"/>
                <w:sz w:val="24"/>
                <w:szCs w:val="24"/>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C1686F">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firstLine="0" w:firstLineChars="0"/>
              <w:jc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woUserID w:val="2"/>
              </w:rPr>
              <w:t>√</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FFA5D">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rPr>
                <w:rFonts w:hint="default" w:ascii="Times New Roman" w:hAnsi="Times New Roman" w:eastAsia="宋体" w:cs="Times New Roman"/>
                <w:b w:val="0"/>
                <w:bCs w:val="0"/>
                <w:i w:val="0"/>
                <w:iCs w:val="0"/>
                <w:color w:val="000000"/>
                <w:sz w:val="24"/>
                <w:szCs w:val="24"/>
                <w:u w:val="none"/>
              </w:rPr>
            </w:pPr>
          </w:p>
        </w:tc>
      </w:tr>
      <w:tr w14:paraId="5B342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40" w:hRule="atLeast"/>
        </w:trPr>
        <w:tc>
          <w:tcPr>
            <w:tcW w:w="1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C2C9FF">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1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78F863">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F99068F">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碳汇：污泥土地利用的固碳量</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65359">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BBFBB">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C6D31">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60D5FA">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226BC">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rPr>
                <w:rFonts w:hint="default" w:ascii="Times New Roman" w:hAnsi="Times New Roman" w:eastAsia="宋体" w:cs="Times New Roman"/>
                <w:b w:val="0"/>
                <w:bCs w:val="0"/>
                <w:i w:val="0"/>
                <w:iCs w:val="0"/>
                <w:color w:val="000000"/>
                <w:sz w:val="24"/>
                <w:szCs w:val="24"/>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0E9FB2">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firstLine="0" w:firstLineChars="0"/>
              <w:jc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woUserID w:val="2"/>
              </w:rPr>
              <w:t>√</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E6A6B">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rPr>
                <w:rFonts w:hint="default" w:ascii="Times New Roman" w:hAnsi="Times New Roman" w:eastAsia="宋体" w:cs="Times New Roman"/>
                <w:b w:val="0"/>
                <w:bCs w:val="0"/>
                <w:i w:val="0"/>
                <w:iCs w:val="0"/>
                <w:color w:val="000000"/>
                <w:sz w:val="24"/>
                <w:szCs w:val="24"/>
                <w:u w:val="none"/>
              </w:rPr>
            </w:pPr>
          </w:p>
        </w:tc>
      </w:tr>
      <w:tr w14:paraId="38AF0F8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0" w:hRule="atLeast"/>
        </w:trPr>
        <w:tc>
          <w:tcPr>
            <w:tcW w:w="164"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87B568">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13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07F82">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89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C626E62">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left"/>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替碳：厂内清洁能源产生量</w:t>
            </w:r>
          </w:p>
        </w:tc>
        <w:tc>
          <w:tcPr>
            <w:tcW w:w="67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6B6B5A">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F7002">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w:t>
            </w:r>
          </w:p>
        </w:tc>
        <w:tc>
          <w:tcPr>
            <w:tcW w:w="4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E8F599">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4"/>
                <w:szCs w:val="24"/>
                <w:u w:val="none"/>
              </w:rPr>
            </w:pPr>
          </w:p>
        </w:tc>
        <w:tc>
          <w:tcPr>
            <w:tcW w:w="74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CF62F">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rPr>
              <w:t>√</w:t>
            </w:r>
          </w:p>
        </w:tc>
        <w:tc>
          <w:tcPr>
            <w:tcW w:w="40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1EA17">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rPr>
                <w:rFonts w:hint="default" w:ascii="Times New Roman" w:hAnsi="Times New Roman" w:eastAsia="宋体" w:cs="Times New Roman"/>
                <w:b w:val="0"/>
                <w:bCs w:val="0"/>
                <w:i w:val="0"/>
                <w:iCs w:val="0"/>
                <w:color w:val="000000"/>
                <w:sz w:val="24"/>
                <w:szCs w:val="24"/>
                <w:u w:val="none"/>
              </w:rPr>
            </w:pPr>
          </w:p>
        </w:tc>
        <w:tc>
          <w:tcPr>
            <w:tcW w:w="4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E651D">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firstLine="0" w:firstLineChars="0"/>
              <w:jc w:val="center"/>
              <w:rPr>
                <w:rFonts w:hint="default" w:ascii="Times New Roman" w:hAnsi="Times New Roman" w:eastAsia="宋体" w:cs="Times New Roman"/>
                <w:b w:val="0"/>
                <w:bCs w:val="0"/>
                <w:i w:val="0"/>
                <w:iCs w:val="0"/>
                <w:color w:val="000000"/>
                <w:sz w:val="24"/>
                <w:szCs w:val="24"/>
                <w:u w:val="none"/>
              </w:rPr>
            </w:pPr>
            <w:r>
              <w:rPr>
                <w:rFonts w:hint="default" w:ascii="Times New Roman" w:hAnsi="Times New Roman" w:eastAsia="宋体" w:cs="Times New Roman"/>
                <w:b w:val="0"/>
                <w:bCs w:val="0"/>
                <w:i w:val="0"/>
                <w:iCs w:val="0"/>
                <w:color w:val="000000"/>
                <w:kern w:val="0"/>
                <w:sz w:val="24"/>
                <w:szCs w:val="24"/>
                <w:u w:val="none"/>
                <w:lang w:val="en-US" w:eastAsia="zh-CN" w:bidi="ar"/>
                <w:woUserID w:val="2"/>
              </w:rPr>
              <w:t>√</w:t>
            </w:r>
          </w:p>
        </w:tc>
        <w:tc>
          <w:tcPr>
            <w:tcW w:w="61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5E27F4">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rPr>
                <w:rFonts w:hint="default" w:ascii="Times New Roman" w:hAnsi="Times New Roman" w:eastAsia="宋体" w:cs="Times New Roman"/>
                <w:b w:val="0"/>
                <w:bCs w:val="0"/>
                <w:i w:val="0"/>
                <w:iCs w:val="0"/>
                <w:color w:val="000000"/>
                <w:sz w:val="24"/>
                <w:szCs w:val="24"/>
                <w:u w:val="none"/>
              </w:rPr>
            </w:pPr>
          </w:p>
        </w:tc>
      </w:tr>
    </w:tbl>
    <w:p w14:paraId="7F3E36D2">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 w:bidi="ar"/>
          <w:woUserID w:val="1"/>
        </w:rPr>
        <w:t>方法</w:t>
      </w:r>
      <w:r>
        <w:rPr>
          <w:rFonts w:hint="default" w:ascii="Times New Roman" w:hAnsi="Times New Roman" w:eastAsia="宋体" w:cs="Times New Roman"/>
          <w:b w:val="0"/>
          <w:bCs w:val="0"/>
          <w:i w:val="0"/>
          <w:iCs w:val="0"/>
          <w:color w:val="000000"/>
          <w:kern w:val="0"/>
          <w:sz w:val="24"/>
          <w:szCs w:val="24"/>
          <w:u w:val="none"/>
          <w:lang w:val="en-US" w:eastAsia="zh-CN" w:bidi="ar"/>
        </w:rPr>
        <w:t>1. 《城镇污水处理厂污染物去除协同控制温室气体核算技术指南》</w:t>
      </w:r>
    </w:p>
    <w:p w14:paraId="0D701D0F">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 w:bidi="ar"/>
          <w:woUserID w:val="1"/>
        </w:rPr>
        <w:t>方法</w:t>
      </w:r>
      <w:r>
        <w:rPr>
          <w:rFonts w:hint="default" w:ascii="Times New Roman" w:hAnsi="Times New Roman" w:eastAsia="宋体" w:cs="Times New Roman"/>
          <w:b w:val="0"/>
          <w:bCs w:val="0"/>
          <w:i w:val="0"/>
          <w:iCs w:val="0"/>
          <w:color w:val="000000"/>
          <w:kern w:val="0"/>
          <w:sz w:val="24"/>
          <w:szCs w:val="24"/>
          <w:u w:val="none"/>
          <w:lang w:val="en-US" w:eastAsia="zh-CN" w:bidi="ar"/>
        </w:rPr>
        <w:t>2. 《上海城镇污水处理厂温室气体排放核算指南》</w:t>
      </w:r>
    </w:p>
    <w:p w14:paraId="431EC3C3">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 w:bidi="ar"/>
          <w:woUserID w:val="1"/>
        </w:rPr>
        <w:t>方法</w:t>
      </w:r>
      <w:r>
        <w:rPr>
          <w:rFonts w:hint="default" w:ascii="Times New Roman" w:hAnsi="Times New Roman" w:eastAsia="宋体" w:cs="Times New Roman"/>
          <w:b w:val="0"/>
          <w:bCs w:val="0"/>
          <w:i w:val="0"/>
          <w:iCs w:val="0"/>
          <w:color w:val="000000"/>
          <w:kern w:val="0"/>
          <w:sz w:val="24"/>
          <w:szCs w:val="24"/>
          <w:u w:val="none"/>
          <w:lang w:val="en-US" w:eastAsia="zh-CN" w:bidi="ar"/>
        </w:rPr>
        <w:t>3. 《污水处理厂低碳运行评价技术规范》</w:t>
      </w:r>
    </w:p>
    <w:p w14:paraId="15B05BE3">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 w:bidi="ar"/>
          <w:woUserID w:val="1"/>
        </w:rPr>
        <w:t>方法</w:t>
      </w:r>
      <w:r>
        <w:rPr>
          <w:rFonts w:hint="default" w:ascii="Times New Roman" w:hAnsi="Times New Roman" w:eastAsia="宋体" w:cs="Times New Roman"/>
          <w:b w:val="0"/>
          <w:bCs w:val="0"/>
          <w:i w:val="0"/>
          <w:iCs w:val="0"/>
          <w:color w:val="000000"/>
          <w:kern w:val="0"/>
          <w:sz w:val="24"/>
          <w:szCs w:val="24"/>
          <w:u w:val="none"/>
          <w:lang w:val="en-US" w:eastAsia="zh-CN" w:bidi="ar"/>
        </w:rPr>
        <w:t>4. 《城镇污水处理厂碳减排评估标准》</w:t>
      </w:r>
    </w:p>
    <w:p w14:paraId="0027481B">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b w:val="0"/>
          <w:bCs w:val="0"/>
          <w:i w:val="0"/>
          <w:iCs w:val="0"/>
          <w:color w:val="000000"/>
          <w:kern w:val="0"/>
          <w:sz w:val="24"/>
          <w:szCs w:val="24"/>
          <w:u w:val="none"/>
          <w:lang w:val="en-US" w:eastAsia="zh-CN" w:bidi="ar"/>
        </w:rPr>
      </w:pPr>
      <w:r>
        <w:rPr>
          <w:rFonts w:hint="default" w:ascii="Times New Roman" w:hAnsi="Times New Roman" w:eastAsia="宋体" w:cs="Times New Roman"/>
          <w:b w:val="0"/>
          <w:bCs w:val="0"/>
          <w:i w:val="0"/>
          <w:iCs w:val="0"/>
          <w:color w:val="000000"/>
          <w:kern w:val="0"/>
          <w:sz w:val="24"/>
          <w:szCs w:val="24"/>
          <w:u w:val="none"/>
          <w:lang w:val="en-US" w:eastAsia="zh" w:bidi="ar"/>
          <w:woUserID w:val="1"/>
        </w:rPr>
        <w:t>方法</w:t>
      </w:r>
      <w:r>
        <w:rPr>
          <w:rFonts w:hint="default" w:ascii="Times New Roman" w:hAnsi="Times New Roman" w:eastAsia="宋体" w:cs="Times New Roman"/>
          <w:b w:val="0"/>
          <w:bCs w:val="0"/>
          <w:i w:val="0"/>
          <w:iCs w:val="0"/>
          <w:color w:val="000000"/>
          <w:kern w:val="0"/>
          <w:sz w:val="24"/>
          <w:szCs w:val="24"/>
          <w:u w:val="none"/>
          <w:lang w:val="en-US" w:eastAsia="zh-CN" w:bidi="ar"/>
        </w:rPr>
        <w:t>5. 《2006 IPCC 国家温室气体清单指南》</w:t>
      </w:r>
    </w:p>
    <w:p w14:paraId="7B7F4018">
      <w:pPr>
        <w:keepNext w:val="0"/>
        <w:keepLines w:val="0"/>
        <w:pageBreakBefore w:val="0"/>
        <w:widowControl w:val="0"/>
        <w:kinsoku/>
        <w:wordWrap/>
        <w:overflowPunct/>
        <w:topLinePunct w:val="0"/>
        <w:autoSpaceDE/>
        <w:autoSpaceDN/>
        <w:bidi w:val="0"/>
        <w:adjustRightInd/>
        <w:snapToGrid w:val="0"/>
        <w:spacing w:line="240" w:lineRule="auto"/>
        <w:textAlignment w:val="auto"/>
        <w:rPr>
          <w:rFonts w:hint="default" w:ascii="Times New Roman" w:hAnsi="Times New Roman" w:eastAsia="宋体" w:cs="Times New Roman"/>
          <w:b w:val="0"/>
          <w:bCs w:val="0"/>
          <w:i w:val="0"/>
          <w:iCs w:val="0"/>
          <w:color w:val="000000"/>
          <w:kern w:val="0"/>
          <w:sz w:val="24"/>
          <w:szCs w:val="24"/>
          <w:u w:val="none"/>
          <w:lang w:val="en-US" w:eastAsia="zh" w:bidi="ar"/>
          <w:woUserID w:val="1"/>
        </w:rPr>
      </w:pPr>
      <w:r>
        <w:rPr>
          <w:rFonts w:hint="default" w:ascii="Times New Roman" w:hAnsi="Times New Roman" w:eastAsia="宋体" w:cs="Times New Roman"/>
          <w:b w:val="0"/>
          <w:bCs w:val="0"/>
          <w:i w:val="0"/>
          <w:iCs w:val="0"/>
          <w:color w:val="000000"/>
          <w:kern w:val="0"/>
          <w:sz w:val="24"/>
          <w:szCs w:val="24"/>
          <w:u w:val="none"/>
          <w:lang w:val="en-US" w:eastAsia="zh" w:bidi="ar"/>
          <w:woUserID w:val="1"/>
        </w:rPr>
        <w:t xml:space="preserve">方法6. </w:t>
      </w:r>
      <w:r>
        <w:rPr>
          <w:rFonts w:hint="default" w:ascii="Times New Roman" w:hAnsi="Times New Roman" w:eastAsia="宋体" w:cs="Times New Roman"/>
          <w:b w:val="0"/>
          <w:bCs w:val="0"/>
          <w:i w:val="0"/>
          <w:iCs w:val="0"/>
          <w:color w:val="000000"/>
          <w:kern w:val="0"/>
          <w:sz w:val="24"/>
          <w:szCs w:val="24"/>
          <w:u w:val="none"/>
          <w:lang w:val="en-US" w:eastAsia="zh-CN" w:bidi="ar"/>
        </w:rPr>
        <w:t>《</w:t>
      </w:r>
      <w:r>
        <w:rPr>
          <w:rFonts w:hint="default" w:ascii="Times New Roman" w:hAnsi="Times New Roman" w:eastAsia="宋体" w:cs="Times New Roman"/>
          <w:b w:val="0"/>
          <w:bCs w:val="0"/>
          <w:i w:val="0"/>
          <w:iCs w:val="0"/>
          <w:color w:val="000000"/>
          <w:kern w:val="0"/>
          <w:sz w:val="24"/>
          <w:szCs w:val="24"/>
          <w:u w:val="none"/>
          <w:lang w:val="en-US" w:eastAsia="zh" w:bidi="ar"/>
          <w:woUserID w:val="1"/>
        </w:rPr>
        <w:t>城镇水务系统碳核算与减排路径技术指南</w:t>
      </w:r>
      <w:r>
        <w:rPr>
          <w:rFonts w:hint="default" w:ascii="Times New Roman" w:hAnsi="Times New Roman" w:eastAsia="宋体" w:cs="Times New Roman"/>
          <w:b w:val="0"/>
          <w:bCs w:val="0"/>
          <w:i w:val="0"/>
          <w:iCs w:val="0"/>
          <w:color w:val="000000"/>
          <w:kern w:val="0"/>
          <w:sz w:val="24"/>
          <w:szCs w:val="24"/>
          <w:u w:val="none"/>
          <w:lang w:val="en-US" w:eastAsia="zh-CN" w:bidi="ar"/>
        </w:rPr>
        <w:t>》</w:t>
      </w:r>
    </w:p>
    <w:p w14:paraId="0D4A0069">
      <w:pPr>
        <w:spacing w:line="360" w:lineRule="auto"/>
        <w:ind w:firstLine="562"/>
        <w:rPr>
          <w:rFonts w:hint="default" w:ascii="Times New Roman" w:hAnsi="Times New Roman" w:cs="Times New Roman"/>
          <w:b/>
          <w:color w:val="auto"/>
          <w:szCs w:val="28"/>
          <w:lang w:val="en-US" w:eastAsia="zh-CN"/>
        </w:rPr>
        <w:sectPr>
          <w:pgSz w:w="16838" w:h="11906" w:orient="landscape"/>
          <w:pgMar w:top="1797" w:right="1440" w:bottom="1797" w:left="1440" w:header="851" w:footer="567" w:gutter="0"/>
          <w:cols w:space="0" w:num="1"/>
          <w:rtlGutter w:val="0"/>
          <w:docGrid w:type="lines" w:linePitch="395" w:charSpace="0"/>
        </w:sectPr>
      </w:pPr>
    </w:p>
    <w:p w14:paraId="58022472">
      <w:pPr>
        <w:spacing w:line="360" w:lineRule="auto"/>
        <w:ind w:firstLine="562"/>
        <w:rPr>
          <w:color w:val="auto"/>
          <w:szCs w:val="28"/>
        </w:rPr>
      </w:pPr>
      <w:r>
        <w:rPr>
          <w:rFonts w:hint="eastAsia"/>
          <w:b/>
          <w:color w:val="auto"/>
          <w:szCs w:val="28"/>
          <w:lang w:val="en-US" w:eastAsia="zh-CN"/>
        </w:rPr>
        <w:t>7</w:t>
      </w:r>
      <w:r>
        <w:rPr>
          <w:rFonts w:hint="eastAsia"/>
          <w:b/>
          <w:color w:val="auto"/>
          <w:szCs w:val="28"/>
        </w:rPr>
        <w:t>）第</w:t>
      </w:r>
      <w:r>
        <w:rPr>
          <w:rFonts w:hint="eastAsia"/>
          <w:b/>
          <w:color w:val="auto"/>
          <w:szCs w:val="28"/>
          <w:lang w:val="en-US" w:eastAsia="zh-CN"/>
        </w:rPr>
        <w:t>7</w:t>
      </w:r>
      <w:r>
        <w:rPr>
          <w:rFonts w:hint="eastAsia"/>
          <w:b/>
          <w:color w:val="auto"/>
          <w:szCs w:val="28"/>
        </w:rPr>
        <w:t>章：数据质量管理。</w:t>
      </w:r>
      <w:r>
        <w:rPr>
          <w:rFonts w:hint="eastAsia"/>
          <w:color w:val="auto"/>
          <w:szCs w:val="28"/>
        </w:rPr>
        <w:t>本章主要列出了报告主体温室气体数据质量管理工作的内容。</w:t>
      </w:r>
    </w:p>
    <w:p w14:paraId="653D0B45">
      <w:pPr>
        <w:spacing w:line="360" w:lineRule="auto"/>
        <w:ind w:firstLine="562"/>
        <w:rPr>
          <w:color w:val="auto"/>
          <w:szCs w:val="28"/>
        </w:rPr>
      </w:pPr>
      <w:r>
        <w:rPr>
          <w:rFonts w:hint="eastAsia"/>
          <w:b/>
          <w:color w:val="auto"/>
          <w:szCs w:val="28"/>
          <w:lang w:val="en-US" w:eastAsia="zh-CN"/>
        </w:rPr>
        <w:t>8</w:t>
      </w:r>
      <w:r>
        <w:rPr>
          <w:rFonts w:hint="eastAsia"/>
          <w:b/>
          <w:color w:val="auto"/>
          <w:szCs w:val="28"/>
        </w:rPr>
        <w:t>）第</w:t>
      </w:r>
      <w:r>
        <w:rPr>
          <w:rFonts w:hint="eastAsia"/>
          <w:b/>
          <w:color w:val="auto"/>
          <w:szCs w:val="28"/>
          <w:lang w:val="en-US" w:eastAsia="zh-CN"/>
        </w:rPr>
        <w:t>8</w:t>
      </w:r>
      <w:r>
        <w:rPr>
          <w:rFonts w:hint="eastAsia"/>
          <w:b/>
          <w:color w:val="auto"/>
          <w:szCs w:val="28"/>
        </w:rPr>
        <w:t>章：报告内容和格式。</w:t>
      </w:r>
      <w:r>
        <w:rPr>
          <w:rFonts w:hint="eastAsia"/>
          <w:color w:val="auto"/>
          <w:szCs w:val="28"/>
        </w:rPr>
        <w:t>本章确定了报告主体基本信息、温室气体排放量、活动数据及来源、排放因子数据及其来源等报告内容及格式要求。</w:t>
      </w:r>
    </w:p>
    <w:p w14:paraId="71E63872">
      <w:pPr>
        <w:spacing w:line="360" w:lineRule="auto"/>
        <w:ind w:firstLine="562"/>
        <w:rPr>
          <w:color w:val="auto"/>
          <w:szCs w:val="28"/>
        </w:rPr>
      </w:pPr>
      <w:r>
        <w:rPr>
          <w:rFonts w:hint="eastAsia"/>
          <w:b/>
          <w:color w:val="auto"/>
          <w:szCs w:val="28"/>
          <w:lang w:val="en-US" w:eastAsia="zh-CN"/>
        </w:rPr>
        <w:t>9</w:t>
      </w:r>
      <w:r>
        <w:rPr>
          <w:rFonts w:hint="eastAsia"/>
          <w:b/>
          <w:color w:val="auto"/>
          <w:szCs w:val="28"/>
        </w:rPr>
        <w:t>）附录</w:t>
      </w:r>
      <w:r>
        <w:rPr>
          <w:b/>
          <w:color w:val="auto"/>
          <w:szCs w:val="28"/>
        </w:rPr>
        <w:t>A</w:t>
      </w:r>
      <w:r>
        <w:rPr>
          <w:rFonts w:hint="eastAsia"/>
          <w:b/>
          <w:color w:val="auto"/>
          <w:szCs w:val="28"/>
          <w:lang w:eastAsia="zh-CN"/>
        </w:rPr>
        <w:t>，</w:t>
      </w:r>
      <w:r>
        <w:rPr>
          <w:rFonts w:hint="eastAsia"/>
          <w:b/>
          <w:color w:val="auto"/>
          <w:szCs w:val="28"/>
          <w:lang w:val="en-US" w:eastAsia="zh-CN"/>
        </w:rPr>
        <w:t>B</w:t>
      </w:r>
      <w:r>
        <w:rPr>
          <w:rFonts w:hint="eastAsia"/>
          <w:b/>
          <w:color w:val="auto"/>
          <w:szCs w:val="28"/>
          <w:lang w:eastAsia="zh-CN"/>
        </w:rPr>
        <w:t>，</w:t>
      </w:r>
      <w:r>
        <w:rPr>
          <w:rFonts w:hint="eastAsia"/>
          <w:b/>
          <w:color w:val="auto"/>
          <w:szCs w:val="28"/>
          <w:lang w:val="en-US" w:eastAsia="zh-CN"/>
        </w:rPr>
        <w:t>C</w:t>
      </w:r>
      <w:r>
        <w:rPr>
          <w:rFonts w:hint="eastAsia"/>
          <w:b/>
          <w:color w:val="auto"/>
          <w:szCs w:val="28"/>
          <w:lang w:eastAsia="zh-CN"/>
        </w:rPr>
        <w:t>，</w:t>
      </w:r>
      <w:r>
        <w:rPr>
          <w:rFonts w:hint="eastAsia"/>
          <w:b/>
          <w:color w:val="auto"/>
          <w:szCs w:val="28"/>
          <w:lang w:val="en-US" w:eastAsia="zh-CN"/>
        </w:rPr>
        <w:t>D，E</w:t>
      </w:r>
      <w:r>
        <w:rPr>
          <w:rFonts w:hint="eastAsia"/>
          <w:b/>
          <w:color w:val="auto"/>
          <w:szCs w:val="28"/>
        </w:rPr>
        <w:t>。</w:t>
      </w:r>
      <w:r>
        <w:rPr>
          <w:rFonts w:hint="eastAsia"/>
          <w:color w:val="auto"/>
          <w:szCs w:val="28"/>
        </w:rPr>
        <w:t>附录</w:t>
      </w:r>
      <w:r>
        <w:rPr>
          <w:color w:val="auto"/>
          <w:szCs w:val="28"/>
        </w:rPr>
        <w:t>A</w:t>
      </w:r>
      <w:r>
        <w:rPr>
          <w:rFonts w:hint="eastAsia"/>
          <w:color w:val="auto"/>
          <w:szCs w:val="28"/>
          <w:lang w:val="en-US" w:eastAsia="zh-CN"/>
        </w:rPr>
        <w:t>介绍生活污水处理企业核算边界；附录B是报告模板及具体表格；附录C提供各环节的缺省排放因子；附录D是电网排放因子的选取说明；附录E是数据质量控制模板</w:t>
      </w:r>
      <w:r>
        <w:rPr>
          <w:rFonts w:hint="eastAsia"/>
          <w:color w:val="auto"/>
          <w:szCs w:val="28"/>
        </w:rPr>
        <w:t>。</w:t>
      </w:r>
    </w:p>
    <w:p w14:paraId="28A7B3A7">
      <w:pPr>
        <w:pStyle w:val="106"/>
        <w:rPr>
          <w:color w:val="auto"/>
        </w:rPr>
      </w:pPr>
      <w:bookmarkStart w:id="55" w:name="_Toc9304"/>
      <w:r>
        <w:rPr>
          <w:color w:val="auto"/>
        </w:rPr>
        <w:t>采用国际</w:t>
      </w:r>
      <w:r>
        <w:rPr>
          <w:rFonts w:hint="eastAsia"/>
          <w:color w:val="auto"/>
        </w:rPr>
        <w:t>、</w:t>
      </w:r>
      <w:r>
        <w:rPr>
          <w:color w:val="auto"/>
        </w:rPr>
        <w:t>国外先进标准的程度，以及与国际、国外同类标准水平的对比情况</w:t>
      </w:r>
      <w:bookmarkEnd w:id="55"/>
    </w:p>
    <w:p w14:paraId="5BF348AA">
      <w:pPr>
        <w:pStyle w:val="110"/>
        <w:rPr>
          <w:color w:val="auto"/>
        </w:rPr>
      </w:pPr>
      <w:bookmarkStart w:id="56" w:name="_Toc20678"/>
      <w:r>
        <w:rPr>
          <w:rFonts w:hint="eastAsia"/>
          <w:color w:val="auto"/>
        </w:rPr>
        <w:t>国内的污水处理</w:t>
      </w:r>
      <w:r>
        <w:rPr>
          <w:rFonts w:hint="eastAsia"/>
          <w:color w:val="auto"/>
          <w:lang w:val="en-US" w:eastAsia="zh-CN"/>
        </w:rPr>
        <w:t>温室气体</w:t>
      </w:r>
      <w:r>
        <w:rPr>
          <w:rFonts w:hint="eastAsia"/>
          <w:color w:val="auto"/>
        </w:rPr>
        <w:t>核算相关标准的工作进展</w:t>
      </w:r>
      <w:bookmarkEnd w:id="56"/>
    </w:p>
    <w:p w14:paraId="502A8217">
      <w:pPr>
        <w:pStyle w:val="107"/>
        <w:rPr>
          <w:color w:val="auto"/>
        </w:rPr>
      </w:pPr>
      <w:r>
        <w:rPr>
          <w:rFonts w:hint="eastAsia"/>
          <w:color w:val="auto"/>
        </w:rPr>
        <w:t>地区级</w:t>
      </w:r>
      <w:r>
        <w:rPr>
          <w:rFonts w:hint="eastAsia"/>
          <w:color w:val="auto"/>
          <w:lang w:val="en-US" w:eastAsia="zh-CN"/>
        </w:rPr>
        <w:t>温室气体</w:t>
      </w:r>
      <w:r>
        <w:rPr>
          <w:rFonts w:hint="eastAsia"/>
          <w:color w:val="auto"/>
        </w:rPr>
        <w:t>排放核算标准</w:t>
      </w:r>
    </w:p>
    <w:p w14:paraId="26D211E4">
      <w:pPr>
        <w:spacing w:line="360" w:lineRule="auto"/>
        <w:ind w:firstLine="420" w:firstLineChars="0"/>
        <w:rPr>
          <w:rFonts w:hint="eastAsia" w:eastAsiaTheme="minorEastAsia"/>
          <w:color w:val="auto"/>
          <w:szCs w:val="28"/>
        </w:rPr>
      </w:pPr>
      <w:r>
        <w:rPr>
          <w:rFonts w:hint="eastAsia" w:eastAsiaTheme="minorEastAsia"/>
          <w:color w:val="auto"/>
          <w:szCs w:val="28"/>
        </w:rPr>
        <w:t>为提升省级温室气体清单编制能力，国家组织多家单位和部门，在IPCC核算方法的基础上，编制并发布了《省级温室气体清单编制指南（试行）》。该指南汇总了省级区域内所有活动的温室气体排放与吸收信息，为区域层面的温室气体核算提供了科学、规范且可操作的指导。与IPCC核算方法相比，该指南中的碳排放因子更贴合我国能源消耗的实际情况，具有更强的适用性和针对性。</w:t>
      </w:r>
    </w:p>
    <w:p w14:paraId="1B5047E4">
      <w:pPr>
        <w:spacing w:line="360" w:lineRule="auto"/>
        <w:ind w:firstLine="420" w:firstLineChars="0"/>
        <w:rPr>
          <w:rFonts w:hint="eastAsia" w:eastAsiaTheme="minorEastAsia"/>
          <w:color w:val="auto"/>
          <w:szCs w:val="28"/>
        </w:rPr>
      </w:pPr>
      <w:r>
        <w:rPr>
          <w:rFonts w:hint="eastAsia" w:eastAsiaTheme="minorEastAsia"/>
          <w:color w:val="auto"/>
          <w:szCs w:val="28"/>
        </w:rPr>
        <w:t>在</w:t>
      </w:r>
      <w:r>
        <w:rPr>
          <w:rFonts w:hint="eastAsia"/>
          <w:color w:val="auto"/>
          <w:szCs w:val="28"/>
          <w:lang w:val="en-US" w:eastAsia="zh-CN"/>
        </w:rPr>
        <w:t>地方</w:t>
      </w:r>
      <w:r>
        <w:rPr>
          <w:rFonts w:hint="eastAsia" w:eastAsiaTheme="minorEastAsia"/>
          <w:color w:val="auto"/>
          <w:szCs w:val="28"/>
        </w:rPr>
        <w:t xml:space="preserve">层面，各地也相继出台了相关核算标准，以支持区域温室气体清单编制工作：  </w:t>
      </w:r>
    </w:p>
    <w:p w14:paraId="57971566">
      <w:pPr>
        <w:spacing w:line="360" w:lineRule="auto"/>
        <w:ind w:firstLine="420" w:firstLineChars="0"/>
        <w:rPr>
          <w:rFonts w:hint="eastAsia" w:eastAsiaTheme="minorEastAsia"/>
          <w:color w:val="auto"/>
          <w:szCs w:val="28"/>
        </w:rPr>
      </w:pPr>
      <w:r>
        <w:rPr>
          <w:rFonts w:hint="eastAsia" w:eastAsiaTheme="minorEastAsia"/>
          <w:color w:val="auto"/>
          <w:szCs w:val="28"/>
        </w:rPr>
        <w:t xml:space="preserve">广东省：广东省生态环境厅发布了《广东省市县（区）级温室气体清单编制指南（试行）》。该指南结合市（县）应对气候变化的统计基础，确保与省级温室气体清单在统计口径和核算方法上保持一致，有效提升了市（县）级温室气体清单编制能力。  </w:t>
      </w:r>
    </w:p>
    <w:p w14:paraId="02D1BACB">
      <w:pPr>
        <w:spacing w:line="360" w:lineRule="auto"/>
        <w:ind w:firstLine="420" w:firstLineChars="0"/>
        <w:rPr>
          <w:rFonts w:hint="eastAsia" w:eastAsiaTheme="minorEastAsia"/>
          <w:color w:val="auto"/>
          <w:szCs w:val="28"/>
        </w:rPr>
      </w:pPr>
      <w:r>
        <w:rPr>
          <w:rFonts w:hint="eastAsia" w:eastAsiaTheme="minorEastAsia"/>
          <w:color w:val="auto"/>
          <w:szCs w:val="28"/>
        </w:rPr>
        <w:t xml:space="preserve">重庆市：重庆市发布了《重庆市区县温室气体清单编制指南（试行）》，为区县级温室气体清单编制提供了明确依据。  </w:t>
      </w:r>
    </w:p>
    <w:p w14:paraId="7F0DBB3B">
      <w:pPr>
        <w:spacing w:line="360" w:lineRule="auto"/>
        <w:ind w:firstLine="420" w:firstLineChars="0"/>
        <w:rPr>
          <w:rFonts w:hint="eastAsia" w:eastAsiaTheme="minorEastAsia"/>
          <w:color w:val="auto"/>
          <w:szCs w:val="28"/>
        </w:rPr>
      </w:pPr>
      <w:r>
        <w:rPr>
          <w:rFonts w:hint="eastAsia" w:eastAsiaTheme="minorEastAsia"/>
          <w:color w:val="auto"/>
          <w:szCs w:val="28"/>
        </w:rPr>
        <w:t xml:space="preserve">上海市：2012年，上海市发布了《上海市温室气体排放核算与报告指南（试行）》，旨在规范企业、相关部门及专业机构在温室气体排放监测、报告、核查和管理方面的科学方法，为区域温室气体核算提供了重要参考。  </w:t>
      </w:r>
    </w:p>
    <w:p w14:paraId="54FC873A">
      <w:pPr>
        <w:spacing w:line="360" w:lineRule="auto"/>
        <w:ind w:firstLine="420" w:firstLineChars="0"/>
        <w:rPr>
          <w:rFonts w:hint="eastAsia" w:eastAsiaTheme="minorEastAsia"/>
          <w:color w:val="auto"/>
          <w:szCs w:val="28"/>
        </w:rPr>
      </w:pPr>
      <w:r>
        <w:rPr>
          <w:rFonts w:hint="eastAsia" w:eastAsiaTheme="minorEastAsia"/>
          <w:color w:val="auto"/>
          <w:szCs w:val="28"/>
        </w:rPr>
        <w:t>这些核算标准的制定与实施，不仅完善了我国温室气体核算体系，还为不同层级区域的温室气体减排工作提供了科学依据和实践指导。</w:t>
      </w:r>
    </w:p>
    <w:p w14:paraId="153DF76E">
      <w:pPr>
        <w:pStyle w:val="107"/>
        <w:rPr>
          <w:color w:val="auto"/>
        </w:rPr>
      </w:pPr>
      <w:r>
        <w:rPr>
          <w:rFonts w:hint="eastAsia"/>
          <w:color w:val="auto"/>
        </w:rPr>
        <w:t>项目级</w:t>
      </w:r>
      <w:r>
        <w:rPr>
          <w:rFonts w:hint="eastAsia"/>
          <w:color w:val="auto"/>
          <w:lang w:val="en-US" w:eastAsia="zh-CN"/>
        </w:rPr>
        <w:t>温室气体</w:t>
      </w:r>
      <w:r>
        <w:rPr>
          <w:rFonts w:hint="eastAsia"/>
          <w:color w:val="auto"/>
        </w:rPr>
        <w:t>排放核算标准</w:t>
      </w:r>
    </w:p>
    <w:p w14:paraId="79383619">
      <w:pPr>
        <w:spacing w:line="360" w:lineRule="auto"/>
        <w:ind w:firstLine="420" w:firstLineChars="0"/>
        <w:rPr>
          <w:rFonts w:hint="default" w:eastAsiaTheme="minorEastAsia"/>
          <w:color w:val="auto"/>
          <w:szCs w:val="28"/>
          <w:lang w:val="en-US" w:eastAsia="zh-CN"/>
        </w:rPr>
      </w:pPr>
      <w:r>
        <w:rPr>
          <w:rFonts w:hint="eastAsia" w:eastAsiaTheme="minorEastAsia"/>
          <w:color w:val="auto"/>
          <w:szCs w:val="28"/>
        </w:rPr>
        <w:t>以项目为核算主体的标准方面，国家核证自愿减排量CCER发布</w:t>
      </w:r>
      <w:r>
        <w:rPr>
          <w:rFonts w:hint="eastAsia"/>
          <w:color w:val="auto"/>
          <w:szCs w:val="28"/>
          <w:lang w:val="en-US" w:eastAsia="zh-CN"/>
        </w:rPr>
        <w:t>过</w:t>
      </w:r>
      <w:r>
        <w:rPr>
          <w:rFonts w:hint="eastAsia" w:eastAsiaTheme="minorEastAsia"/>
          <w:color w:val="auto"/>
          <w:szCs w:val="28"/>
        </w:rPr>
        <w:t>《CM-088-V01 通过在有氧污水处理厂处理污水减少温室温室气体排放》和《CMS-077-V01 废水处理过程通过使用有氧系统替代厌氧系统避免甲烷的产生》等多项涉及生活污水处理碳排放的核算方法。以上方法建立了生活污水处理温室气体排放的核算框架，包括直接碳排放与间接碳排放，并且对核算过程所需的活动数据及排放因子取值均有规定，或采用默认值，或通过统计和采样检测的方式获取</w:t>
      </w:r>
      <w:r>
        <w:rPr>
          <w:rFonts w:hint="eastAsia"/>
          <w:color w:val="auto"/>
          <w:szCs w:val="28"/>
          <w:lang w:eastAsia="zh-CN"/>
        </w:rPr>
        <w:t>。</w:t>
      </w:r>
      <w:r>
        <w:rPr>
          <w:rFonts w:hint="eastAsia"/>
          <w:color w:val="auto"/>
          <w:szCs w:val="28"/>
          <w:lang w:val="en-US" w:eastAsia="zh-CN"/>
        </w:rPr>
        <w:t>但随着碳市场的重启，污水处理领域尚未有新温室气体排放核算方法发布。</w:t>
      </w:r>
    </w:p>
    <w:p w14:paraId="181DB8D9">
      <w:pPr>
        <w:pStyle w:val="107"/>
        <w:rPr>
          <w:color w:val="auto"/>
        </w:rPr>
      </w:pPr>
      <w:bookmarkStart w:id="57" w:name="_Hlk178078426"/>
      <w:r>
        <w:rPr>
          <w:rFonts w:hint="eastAsia"/>
          <w:color w:val="auto"/>
        </w:rPr>
        <w:t>企业级</w:t>
      </w:r>
      <w:r>
        <w:rPr>
          <w:rFonts w:hint="eastAsia"/>
          <w:color w:val="auto"/>
          <w:lang w:val="en-US" w:eastAsia="zh-CN"/>
        </w:rPr>
        <w:t>温室气体</w:t>
      </w:r>
      <w:r>
        <w:rPr>
          <w:rFonts w:hint="eastAsia"/>
          <w:color w:val="auto"/>
        </w:rPr>
        <w:t>排放核算标准</w:t>
      </w:r>
    </w:p>
    <w:bookmarkEnd w:id="57"/>
    <w:p w14:paraId="03425C0F">
      <w:pPr>
        <w:keepNext w:val="0"/>
        <w:keepLines w:val="0"/>
        <w:widowControl/>
        <w:suppressLineNumbers w:val="0"/>
        <w:bidi w:val="0"/>
        <w:spacing w:before="0" w:beforeAutospacing="0" w:after="0" w:afterAutospacing="0"/>
        <w:ind w:left="0" w:right="0"/>
        <w:jc w:val="both"/>
        <w:rPr>
          <w:rFonts w:hint="eastAsia" w:eastAsiaTheme="minorEastAsia"/>
          <w:lang w:eastAsia="zh-CN"/>
        </w:rPr>
      </w:pPr>
      <w:r>
        <w:rPr>
          <w:rFonts w:hint="eastAsia"/>
        </w:rPr>
        <w:t>以</w:t>
      </w:r>
      <w:r>
        <w:rPr>
          <w:rFonts w:hint="eastAsia" w:ascii="Times New Roman" w:hAnsi="Times New Roman" w:cs="Times New Roman" w:eastAsiaTheme="minorEastAsia"/>
          <w:color w:val="auto"/>
          <w:szCs w:val="28"/>
        </w:rPr>
        <w:t>生活污水处理企业为核算主体的标准方面，国内已</w:t>
      </w:r>
      <w:r>
        <w:rPr>
          <w:rFonts w:hint="eastAsia" w:cs="Times New Roman"/>
          <w:color w:val="auto"/>
          <w:szCs w:val="28"/>
          <w:lang w:val="en-US" w:eastAsia="zh-CN"/>
        </w:rPr>
        <w:t>有</w:t>
      </w:r>
      <w:r>
        <w:rPr>
          <w:rFonts w:hint="eastAsia" w:ascii="Times New Roman" w:hAnsi="Times New Roman" w:cs="Times New Roman" w:eastAsiaTheme="minorEastAsia"/>
          <w:color w:val="auto"/>
          <w:szCs w:val="28"/>
        </w:rPr>
        <w:t>三个团体标准，即</w:t>
      </w:r>
      <w:r>
        <w:rPr>
          <w:rFonts w:hint="default" w:ascii="Times New Roman" w:hAnsi="Times New Roman" w:cs="Times New Roman" w:eastAsiaTheme="minorEastAsia"/>
          <w:color w:val="auto"/>
          <w:szCs w:val="28"/>
          <w:lang w:val="en-US" w:eastAsia="zh-CN"/>
        </w:rPr>
        <w:t>《污水处理厂低碳运行评价技术规范》（T/CAEPA-2022）、《城镇污水处理厂碳排放核算标准》（T/CRSUD-2023）和《城镇污水处理厂碳减排评估标准》（T/CUWA 50055-2023）</w:t>
      </w:r>
      <w:r>
        <w:rPr>
          <w:rFonts w:hint="eastAsia" w:ascii="Times New Roman" w:hAnsi="Times New Roman" w:cs="Times New Roman" w:eastAsiaTheme="minorEastAsia"/>
          <w:color w:val="auto"/>
          <w:szCs w:val="28"/>
        </w:rPr>
        <w:t>。以上三个标准都对污水处理厂温室气体排放核算的范围、核算方法提出</w:t>
      </w:r>
      <w:r>
        <w:rPr>
          <w:rFonts w:hint="eastAsia" w:cs="Times New Roman"/>
          <w:color w:val="auto"/>
          <w:szCs w:val="28"/>
          <w:lang w:val="en-US" w:eastAsia="zh-CN"/>
        </w:rPr>
        <w:t>具体</w:t>
      </w:r>
      <w:r>
        <w:t>要求</w:t>
      </w:r>
      <w:r>
        <w:rPr>
          <w:rFonts w:hint="eastAsia"/>
          <w:lang w:eastAsia="zh-CN"/>
        </w:rPr>
        <w:t>。</w:t>
      </w:r>
    </w:p>
    <w:p w14:paraId="615CC44D">
      <w:pPr>
        <w:bidi w:val="0"/>
      </w:pPr>
      <w:r>
        <w:rPr>
          <w:rFonts w:hint="eastAsia"/>
        </w:rPr>
        <w:t>2015年，国家发展和改革委员会发布了《工业企业温室气体排放核算和报告通则》，该标准规定了碳排放量计算的基本原则、核算方法和报告要求。2021年，生态环境部发布了《企业温室气体排放报告核查指南（试行）》，为企业温室气体排放核算方法、核算数据、活动数据、排放因子以及其他核算相关数据提出了具体的核查要求，生活污水处理项目温室气体排放报告核查可根据该指南进行。</w:t>
      </w:r>
    </w:p>
    <w:p w14:paraId="3EE39B1C">
      <w:pPr>
        <w:pStyle w:val="110"/>
        <w:rPr>
          <w:color w:val="auto"/>
        </w:rPr>
      </w:pPr>
      <w:bookmarkStart w:id="58" w:name="_Toc18991"/>
      <w:r>
        <w:rPr>
          <w:rFonts w:hint="eastAsia"/>
          <w:color w:val="auto"/>
        </w:rPr>
        <w:t>国际污水处理</w:t>
      </w:r>
      <w:r>
        <w:rPr>
          <w:rFonts w:hint="eastAsia"/>
          <w:color w:val="auto"/>
          <w:lang w:val="en-US" w:eastAsia="zh-CN"/>
        </w:rPr>
        <w:t>温室气体</w:t>
      </w:r>
      <w:r>
        <w:rPr>
          <w:rFonts w:hint="eastAsia"/>
          <w:color w:val="auto"/>
        </w:rPr>
        <w:t>核算相关标准的工作进展</w:t>
      </w:r>
      <w:bookmarkEnd w:id="58"/>
    </w:p>
    <w:p w14:paraId="3CC2528B">
      <w:pPr>
        <w:bidi w:val="0"/>
      </w:pPr>
      <w:r>
        <w:rPr>
          <w:rFonts w:hint="eastAsia"/>
        </w:rPr>
        <w:t>国际污水处理碳核算相关标准方法主要有IPCC指南方法、清洁发展机制（CDM）、核证减排标准（VCS）、GHG Protocol及生命周期评价法（LCA）等。</w:t>
      </w:r>
    </w:p>
    <w:p w14:paraId="598950B8">
      <w:pPr>
        <w:pStyle w:val="107"/>
        <w:rPr>
          <w:color w:val="auto"/>
        </w:rPr>
      </w:pPr>
      <w:r>
        <w:rPr>
          <w:rFonts w:hint="eastAsia"/>
          <w:color w:val="auto"/>
        </w:rPr>
        <w:t>国家级</w:t>
      </w:r>
      <w:r>
        <w:rPr>
          <w:rFonts w:hint="eastAsia"/>
          <w:color w:val="auto"/>
          <w:lang w:val="en-US" w:eastAsia="zh-CN"/>
        </w:rPr>
        <w:t>温室气体</w:t>
      </w:r>
      <w:r>
        <w:rPr>
          <w:rFonts w:hint="eastAsia"/>
          <w:color w:val="auto"/>
        </w:rPr>
        <w:t>排放核算标准——IPCC指南方法</w:t>
      </w:r>
    </w:p>
    <w:p w14:paraId="0FDCF3C0">
      <w:pPr>
        <w:spacing w:line="360" w:lineRule="auto"/>
        <w:ind w:firstLine="560"/>
        <w:rPr>
          <w:rFonts w:hint="eastAsia" w:eastAsiaTheme="minorEastAsia"/>
          <w:color w:val="auto"/>
          <w:szCs w:val="28"/>
        </w:rPr>
      </w:pPr>
      <w:r>
        <w:rPr>
          <w:rFonts w:hint="eastAsia" w:eastAsiaTheme="minorEastAsia"/>
          <w:color w:val="auto"/>
          <w:szCs w:val="28"/>
        </w:rPr>
        <w:t>由政府间气候变化专业委员会（The Intergovernmental Panel on Climate Change，IPCC）编制的《IPCC国家温室气体清单指南》是全球范围内应用最广泛的碳排放核算指南之一。该指南将温室气体排放划分为五大领域：能源、工业生产过程、农业、林业与土地利用以及废弃物。其中，第五卷“废弃物”部分专门针对废水处理与排放，详细列出了生活污水处理过程中可能产生直接碳排放的环节，并提供了生活污水处理直接碳排放的具体核算方法。</w:t>
      </w:r>
    </w:p>
    <w:p w14:paraId="3F37ECB6">
      <w:pPr>
        <w:spacing w:line="360" w:lineRule="auto"/>
        <w:ind w:firstLine="560"/>
        <w:rPr>
          <w:rFonts w:hint="eastAsia" w:eastAsiaTheme="minorEastAsia"/>
          <w:color w:val="auto"/>
          <w:szCs w:val="28"/>
        </w:rPr>
      </w:pPr>
      <w:r>
        <w:rPr>
          <w:rFonts w:hint="eastAsia" w:eastAsiaTheme="minorEastAsia"/>
          <w:color w:val="auto"/>
          <w:szCs w:val="28"/>
        </w:rPr>
        <w:t>《IPCC国家温室气体清单指南》历经多次更新，最新版本于2019年5月18日在日本京都召开的IPCC专家组全体会议上发布。此次更新基于2006年版指南，进一步补充了温室气体排放源和吸收汇的估算方法，并对部分排放因子进行了修订，以更好地反映最新的科学研究成果和实践经验。</w:t>
      </w:r>
    </w:p>
    <w:p w14:paraId="4DBC049B">
      <w:pPr>
        <w:pStyle w:val="107"/>
        <w:bidi w:val="0"/>
      </w:pPr>
      <w:bookmarkStart w:id="59" w:name="_Hlk178078608"/>
      <w:r>
        <w:rPr>
          <w:rFonts w:hint="eastAsia"/>
        </w:rPr>
        <w:t>项目级</w:t>
      </w:r>
      <w:r>
        <w:rPr>
          <w:rFonts w:hint="eastAsia"/>
          <w:lang w:val="en-US" w:eastAsia="zh-CN"/>
        </w:rPr>
        <w:t>温室气体</w:t>
      </w:r>
      <w:r>
        <w:rPr>
          <w:rFonts w:hint="eastAsia"/>
        </w:rPr>
        <w:t>排放核算标准——清洁发展机制（CDM）、核证减排标准（VCS）及GHG Protocol</w:t>
      </w:r>
    </w:p>
    <w:p w14:paraId="0A275C44">
      <w:pPr>
        <w:bidi w:val="0"/>
        <w:rPr>
          <w:rFonts w:hint="eastAsia" w:eastAsiaTheme="minorEastAsia"/>
          <w:lang w:eastAsia="zh-CN"/>
        </w:rPr>
      </w:pPr>
      <w:r>
        <w:rPr>
          <w:rFonts w:hint="eastAsia"/>
        </w:rPr>
        <w:t>清洁发展机制（Clean Development Mechanism, CDM）是《京都议定书》引入的履约机制之一，允许发达国家通过向发展中国家购买减排量（CERs），抵消自身的部分排放义务，从而促进发展中国家的温室气体减排项目。生活污水处理过程中产生的温室气体减排也被纳入CDM的多个废弃物处置相关方法学中，例如《AM0080 Mitigation of greenhouse gases emissions with treatment of wastewater in aerobic wastewater treatment plants》。其碳排放计算逻辑为：碳减排量 = 基准排放 - 项目排放，其中，基准排放通常指采用厌氧塘处理污水的情形。CDM方法学在IPCC核算方法的基础上，引入了间接碳排放的计算，以更全面地评估生活污水处理项目的碳排放和减排效果</w:t>
      </w:r>
      <w:r>
        <w:rPr>
          <w:rFonts w:hint="eastAsia"/>
          <w:lang w:eastAsia="zh-CN"/>
        </w:rPr>
        <w:t>。</w:t>
      </w:r>
    </w:p>
    <w:p w14:paraId="39882B62">
      <w:pPr>
        <w:bidi w:val="0"/>
        <w:rPr>
          <w:rFonts w:hint="eastAsia"/>
        </w:rPr>
      </w:pPr>
      <w:r>
        <w:rPr>
          <w:rFonts w:hint="eastAsia"/>
        </w:rPr>
        <w:t>核证减排标准（Verified Carbon Standard, VCS）由非营利组织Verra于2005年创建，是全球应用最广泛的自愿减排机制。VCS通过签发核证碳单位（Verified Carbon Units, VCUs）推动碳减排项目的实施。其备案方法学涵盖能源、制造、建筑、交通、废弃物、采矿、农业、林业、草原、湿地和畜牧业等49个领域。此外，VCS标准承认CDM的全部备案方法学，因此，在污水处理领域，VCS采用CDM的方法学计算碳排放和碳减排量。</w:t>
      </w:r>
    </w:p>
    <w:p w14:paraId="2F91FE74">
      <w:pPr>
        <w:bidi w:val="0"/>
        <w:rPr>
          <w:rFonts w:hint="eastAsia"/>
        </w:rPr>
      </w:pPr>
      <w:r>
        <w:rPr>
          <w:rFonts w:hint="eastAsia"/>
        </w:rPr>
        <w:t>《GHG Protocol 温室气体核算体系》由世界资源研究所（WRI）和世界可持续发展工商理事会（WBCSD）自1998年联合制定，现已成为全球广泛认可的碳核算标准。GHG Protocol 将温室气体排放分为范围一（Scope 1）、范围二（Scope 2）和范围三（Scope 3），并对项目边界的确定提供指导。其中：</w:t>
      </w:r>
    </w:p>
    <w:p w14:paraId="0CFD4854">
      <w:pPr>
        <w:bidi w:val="0"/>
        <w:rPr>
          <w:rFonts w:hint="eastAsia"/>
        </w:rPr>
      </w:pPr>
      <w:r>
        <w:rPr>
          <w:rFonts w:hint="eastAsia"/>
          <w:b/>
          <w:bCs/>
        </w:rPr>
        <w:t>范围一：</w:t>
      </w:r>
      <w:r>
        <w:rPr>
          <w:rFonts w:hint="eastAsia"/>
        </w:rPr>
        <w:t>指项目边界内的直接温室气体排放，包括污水及污泥处理过程中无组织排放的甲烷和氧化亚氮，以及燃料燃烧的二氧化碳。</w:t>
      </w:r>
    </w:p>
    <w:p w14:paraId="0A879DCD">
      <w:pPr>
        <w:bidi w:val="0"/>
        <w:rPr>
          <w:rFonts w:hint="eastAsia"/>
        </w:rPr>
      </w:pPr>
      <w:r>
        <w:rPr>
          <w:rFonts w:hint="eastAsia"/>
          <w:b/>
          <w:bCs/>
        </w:rPr>
        <w:t>范围二：</w:t>
      </w:r>
      <w:r>
        <w:rPr>
          <w:rFonts w:hint="eastAsia"/>
        </w:rPr>
        <w:t>指外购电力、蒸汽和热能等能源消耗所导致的间接温室气体排放。</w:t>
      </w:r>
    </w:p>
    <w:p w14:paraId="2BEAFD24">
      <w:pPr>
        <w:bidi w:val="0"/>
        <w:rPr>
          <w:rFonts w:hint="eastAsia"/>
        </w:rPr>
      </w:pPr>
      <w:r>
        <w:rPr>
          <w:rFonts w:hint="eastAsia"/>
          <w:b/>
          <w:bCs/>
        </w:rPr>
        <w:t>范围三：</w:t>
      </w:r>
      <w:r>
        <w:rPr>
          <w:rFonts w:hint="eastAsia"/>
        </w:rPr>
        <w:t>指除范围二以外的其他间接排放，包括污水处理厂上下游过程（如污泥外运、污泥处置）产生的碳排放。但在GHG Protocol框架下，范围三的排放目前尚未被强制纳入核算范围。</w:t>
      </w:r>
    </w:p>
    <w:bookmarkEnd w:id="59"/>
    <w:p w14:paraId="2A8C3D58">
      <w:pPr>
        <w:pStyle w:val="107"/>
        <w:rPr>
          <w:color w:val="auto"/>
        </w:rPr>
      </w:pPr>
      <w:r>
        <w:rPr>
          <w:rFonts w:hint="eastAsia"/>
          <w:color w:val="auto"/>
        </w:rPr>
        <w:t>产品级</w:t>
      </w:r>
      <w:r>
        <w:rPr>
          <w:rFonts w:hint="eastAsia"/>
          <w:color w:val="auto"/>
          <w:lang w:val="en-US" w:eastAsia="zh-CN"/>
        </w:rPr>
        <w:t>温室气体</w:t>
      </w:r>
      <w:r>
        <w:rPr>
          <w:rFonts w:hint="eastAsia"/>
          <w:color w:val="auto"/>
        </w:rPr>
        <w:t>排放核算标准 - 生命周期评价法（LCA）</w:t>
      </w:r>
    </w:p>
    <w:p w14:paraId="611A3128">
      <w:pPr>
        <w:spacing w:line="360" w:lineRule="auto"/>
        <w:ind w:firstLine="560"/>
        <w:rPr>
          <w:rFonts w:eastAsiaTheme="minorEastAsia"/>
          <w:color w:val="auto"/>
          <w:szCs w:val="28"/>
        </w:rPr>
      </w:pPr>
      <w:r>
        <w:rPr>
          <w:rFonts w:hint="eastAsia" w:eastAsiaTheme="minorEastAsia"/>
          <w:color w:val="auto"/>
          <w:szCs w:val="28"/>
        </w:rPr>
        <w:t>生命周期评价法（Life cycle assessment， LCA）是一种评估与商业产品、过程或服务“从摇篮到坟墓”的生命周期所有阶段相关的环境影响方法。该方法主要包括三个步骤：编制环境、能源投入/产出清单，评估环境影响，以及结果解释说明。国际标准化组织（ISO）的ISO14040和ISO14044环境管理标准分别对LCA方法的“原则和框架”以及“要求和指南”作出了明确规定。</w:t>
      </w:r>
    </w:p>
    <w:p w14:paraId="44DCC3B7">
      <w:pPr>
        <w:spacing w:line="360" w:lineRule="auto"/>
        <w:ind w:firstLine="560"/>
        <w:rPr>
          <w:rFonts w:hint="eastAsia" w:eastAsiaTheme="minorEastAsia"/>
          <w:color w:val="auto"/>
          <w:szCs w:val="28"/>
          <w:lang w:eastAsia="zh-CN"/>
        </w:rPr>
      </w:pPr>
      <w:r>
        <w:rPr>
          <w:rFonts w:hint="eastAsia" w:eastAsiaTheme="minorEastAsia"/>
          <w:color w:val="auto"/>
          <w:szCs w:val="28"/>
        </w:rPr>
        <w:t>LCA方法已被开始于美国、中国、加拿大、英国等多个国家的生活污水处理碳</w:t>
      </w:r>
      <w:r>
        <w:rPr>
          <w:rFonts w:hint="eastAsia"/>
          <w:color w:val="auto"/>
          <w:szCs w:val="28"/>
          <w:lang w:val="en-US" w:eastAsia="zh-CN"/>
        </w:rPr>
        <w:t>排放</w:t>
      </w:r>
      <w:r>
        <w:rPr>
          <w:rFonts w:hint="eastAsia" w:eastAsiaTheme="minorEastAsia"/>
          <w:color w:val="auto"/>
          <w:szCs w:val="28"/>
        </w:rPr>
        <w:t>核算研究，由于LCA方法考虑了生活污水处理的碳排放，用LCA方法得到的碳核算结果较为全面。但由于该方法的使用需要污水、处理药剂、处理构筑物全生命周期的大量数据，而相关数据的收集往往存在较大的困难</w:t>
      </w:r>
      <w:r>
        <w:rPr>
          <w:rFonts w:hint="eastAsia"/>
          <w:color w:val="auto"/>
          <w:szCs w:val="28"/>
          <w:lang w:eastAsia="zh-CN"/>
        </w:rPr>
        <w:t>。</w:t>
      </w:r>
    </w:p>
    <w:p w14:paraId="556B147A">
      <w:pPr>
        <w:pStyle w:val="106"/>
        <w:bidi w:val="0"/>
        <w:ind w:left="425" w:leftChars="0" w:hanging="425" w:firstLineChars="0"/>
        <w:rPr>
          <w:rFonts w:hint="eastAsia"/>
          <w:lang w:eastAsia="zh"/>
          <w:woUserID w:val="1"/>
        </w:rPr>
      </w:pPr>
      <w:bookmarkStart w:id="60" w:name="_Toc28809"/>
      <w:r>
        <w:rPr>
          <w:rFonts w:hint="eastAsia"/>
          <w:lang w:eastAsia="zh"/>
          <w:woUserID w:val="1"/>
        </w:rPr>
        <w:t>主要的验证</w:t>
      </w:r>
      <w:r>
        <w:rPr>
          <w:rFonts w:hint="eastAsia"/>
          <w:lang w:eastAsia="zh-CN"/>
          <w:woUserID w:val="1"/>
        </w:rPr>
        <w:t>（</w:t>
      </w:r>
      <w:r>
        <w:rPr>
          <w:rFonts w:hint="eastAsia"/>
          <w:lang w:val="en-US" w:eastAsia="zh-CN"/>
          <w:woUserID w:val="1"/>
        </w:rPr>
        <w:t>测试</w:t>
      </w:r>
      <w:r>
        <w:rPr>
          <w:rFonts w:hint="eastAsia"/>
          <w:lang w:eastAsia="zh-CN"/>
          <w:woUserID w:val="1"/>
        </w:rPr>
        <w:t>）</w:t>
      </w:r>
      <w:r>
        <w:rPr>
          <w:rFonts w:hint="eastAsia"/>
          <w:lang w:eastAsia="zh"/>
          <w:woUserID w:val="1"/>
        </w:rPr>
        <w:t>情况</w:t>
      </w:r>
      <w:bookmarkEnd w:id="60"/>
    </w:p>
    <w:p w14:paraId="2C9A1EC3">
      <w:pPr>
        <w:keepNext w:val="0"/>
        <w:keepLines w:val="0"/>
        <w:widowControl w:val="0"/>
        <w:suppressLineNumbers w:val="0"/>
        <w:spacing w:before="0" w:beforeAutospacing="0" w:after="0" w:afterAutospacing="0" w:line="360" w:lineRule="auto"/>
        <w:ind w:left="0" w:right="0" w:firstLine="560" w:firstLineChars="200"/>
        <w:jc w:val="both"/>
        <w:rPr>
          <w:rFonts w:hint="default" w:ascii="Times New Roman" w:hAnsi="Times New Roman" w:eastAsia="宋体" w:cs="Times New Roman"/>
          <w:kern w:val="2"/>
          <w:sz w:val="28"/>
          <w:szCs w:val="28"/>
          <w:woUserID w:val="1"/>
        </w:rPr>
      </w:pPr>
      <w:r>
        <w:rPr>
          <w:rFonts w:hint="eastAsia" w:ascii="宋体" w:hAnsi="宋体" w:eastAsia="宋体" w:cs="宋体"/>
          <w:color w:val="auto"/>
          <w:kern w:val="2"/>
          <w:sz w:val="28"/>
          <w:szCs w:val="28"/>
          <w:lang w:val="en-US" w:eastAsia="zh-CN" w:bidi="ar"/>
          <w:woUserID w:val="1"/>
        </w:rPr>
        <w:t>本标准标准是在总结国内</w:t>
      </w:r>
      <w:r>
        <w:rPr>
          <w:rFonts w:hint="eastAsia" w:ascii="宋体" w:hAnsi="宋体" w:eastAsia="宋体" w:cs="宋体"/>
          <w:color w:val="auto"/>
          <w:kern w:val="2"/>
          <w:sz w:val="28"/>
          <w:szCs w:val="28"/>
          <w:lang w:val="en-US" w:eastAsia="zh" w:bidi="ar"/>
          <w:woUserID w:val="1"/>
        </w:rPr>
        <w:t>生活污水处理</w:t>
      </w:r>
      <w:r>
        <w:rPr>
          <w:rFonts w:hint="eastAsia" w:ascii="宋体" w:hAnsi="宋体" w:eastAsia="宋体" w:cs="宋体"/>
          <w:color w:val="auto"/>
          <w:kern w:val="2"/>
          <w:sz w:val="28"/>
          <w:szCs w:val="28"/>
          <w:lang w:val="en-US" w:eastAsia="zh-CN" w:bidi="ar"/>
          <w:woUserID w:val="1"/>
        </w:rPr>
        <w:t>行业温室气体排放实际现状的基础上，充分调研、研讨、征求意见后完成的。本标准在确定内容之前开展以下工作：</w:t>
      </w:r>
    </w:p>
    <w:p w14:paraId="0A74564B">
      <w:pPr>
        <w:keepNext w:val="0"/>
        <w:keepLines w:val="0"/>
        <w:widowControl w:val="0"/>
        <w:suppressLineNumbers w:val="0"/>
        <w:spacing w:before="0" w:beforeAutospacing="0" w:after="0" w:afterAutospacing="0" w:line="360" w:lineRule="auto"/>
        <w:ind w:left="0" w:right="0" w:firstLine="560" w:firstLineChars="200"/>
        <w:jc w:val="both"/>
        <w:rPr>
          <w:rFonts w:hint="default" w:ascii="Times New Roman" w:hAnsi="Times New Roman" w:eastAsia="宋体" w:cs="Times New Roman"/>
          <w:kern w:val="2"/>
          <w:sz w:val="28"/>
          <w:szCs w:val="28"/>
          <w:woUserID w:val="1"/>
        </w:rPr>
      </w:pPr>
      <w:r>
        <w:rPr>
          <w:rFonts w:hint="default" w:ascii="Times New Roman" w:hAnsi="Times New Roman" w:eastAsia="宋体" w:cs="Times New Roman"/>
          <w:color w:val="auto"/>
          <w:kern w:val="2"/>
          <w:sz w:val="28"/>
          <w:szCs w:val="28"/>
          <w:lang w:val="en-US" w:eastAsia="zh-CN" w:bidi="ar"/>
          <w:woUserID w:val="1"/>
        </w:rPr>
        <w:t>1</w:t>
      </w:r>
      <w:r>
        <w:rPr>
          <w:rFonts w:hint="eastAsia" w:ascii="宋体" w:hAnsi="宋体" w:eastAsia="宋体" w:cs="宋体"/>
          <w:color w:val="auto"/>
          <w:kern w:val="2"/>
          <w:sz w:val="28"/>
          <w:szCs w:val="28"/>
          <w:lang w:val="en-US" w:eastAsia="zh-CN" w:bidi="ar"/>
          <w:woUserID w:val="1"/>
        </w:rPr>
        <w:t>）收集、分析了温室气体排放与核算相关的国内标准、技术文献和统计资料。</w:t>
      </w:r>
    </w:p>
    <w:p w14:paraId="22CE1E37">
      <w:pPr>
        <w:keepNext w:val="0"/>
        <w:keepLines w:val="0"/>
        <w:widowControl w:val="0"/>
        <w:suppressLineNumbers w:val="0"/>
        <w:spacing w:before="0" w:beforeAutospacing="0" w:after="0" w:afterAutospacing="0" w:line="360" w:lineRule="auto"/>
        <w:ind w:left="0" w:right="0" w:firstLine="560" w:firstLineChars="200"/>
        <w:jc w:val="both"/>
        <w:rPr>
          <w:rFonts w:hint="default" w:ascii="Times New Roman" w:hAnsi="Times New Roman" w:eastAsia="宋体" w:cs="Times New Roman"/>
          <w:kern w:val="2"/>
          <w:sz w:val="28"/>
          <w:szCs w:val="28"/>
          <w:woUserID w:val="1"/>
        </w:rPr>
      </w:pPr>
      <w:r>
        <w:rPr>
          <w:rFonts w:hint="default" w:ascii="Times New Roman" w:hAnsi="Times New Roman" w:eastAsia="宋体" w:cs="Times New Roman"/>
          <w:color w:val="auto"/>
          <w:kern w:val="2"/>
          <w:sz w:val="28"/>
          <w:szCs w:val="28"/>
          <w:lang w:val="en-US" w:eastAsia="zh-CN" w:bidi="ar"/>
          <w:woUserID w:val="1"/>
        </w:rPr>
        <w:t>2</w:t>
      </w:r>
      <w:r>
        <w:rPr>
          <w:rFonts w:hint="eastAsia" w:ascii="宋体" w:hAnsi="宋体" w:eastAsia="宋体" w:cs="宋体"/>
          <w:color w:val="auto"/>
          <w:kern w:val="2"/>
          <w:sz w:val="28"/>
          <w:szCs w:val="28"/>
          <w:lang w:val="en-US" w:eastAsia="zh-CN" w:bidi="ar"/>
          <w:woUserID w:val="1"/>
        </w:rPr>
        <w:t>）开展</w:t>
      </w:r>
      <w:r>
        <w:rPr>
          <w:rFonts w:hint="eastAsia" w:ascii="宋体" w:hAnsi="宋体" w:eastAsia="宋体" w:cs="宋体"/>
          <w:color w:val="auto"/>
          <w:kern w:val="2"/>
          <w:sz w:val="28"/>
          <w:szCs w:val="28"/>
          <w:lang w:val="en-US" w:eastAsia="zh" w:bidi="ar"/>
          <w:woUserID w:val="1"/>
        </w:rPr>
        <w:t>生活污水处理</w:t>
      </w:r>
      <w:r>
        <w:rPr>
          <w:rFonts w:hint="eastAsia" w:ascii="宋体" w:hAnsi="宋体" w:eastAsia="宋体" w:cs="宋体"/>
          <w:color w:val="auto"/>
          <w:kern w:val="2"/>
          <w:sz w:val="28"/>
          <w:szCs w:val="28"/>
          <w:lang w:val="en-US" w:eastAsia="zh-CN" w:bidi="ar"/>
          <w:woUserID w:val="1"/>
        </w:rPr>
        <w:t>企业的碳排放核算边界、主要生产单元、主要生产设备、原辅料、主要工艺过程、温室气体排放来源识别</w:t>
      </w:r>
      <w:r>
        <w:rPr>
          <w:rFonts w:hint="eastAsia" w:ascii="宋体" w:hAnsi="宋体" w:eastAsia="宋体" w:cs="宋体"/>
          <w:color w:val="auto"/>
          <w:kern w:val="2"/>
          <w:sz w:val="28"/>
          <w:szCs w:val="28"/>
          <w:lang w:val="en-US" w:eastAsia="zh" w:bidi="ar"/>
          <w:woUserID w:val="1"/>
        </w:rPr>
        <w:t>、</w:t>
      </w:r>
      <w:r>
        <w:rPr>
          <w:rFonts w:hint="eastAsia" w:ascii="宋体" w:hAnsi="宋体" w:eastAsia="宋体" w:cs="宋体"/>
          <w:color w:val="auto"/>
          <w:kern w:val="2"/>
          <w:sz w:val="28"/>
          <w:szCs w:val="28"/>
          <w:lang w:val="en-US" w:eastAsia="zh-CN" w:bidi="ar"/>
          <w:woUserID w:val="1"/>
        </w:rPr>
        <w:t>活动水平数据统计、排放因子数据等相关材料内容的梳理、分析（表1）。</w:t>
      </w:r>
    </w:p>
    <w:p w14:paraId="36D0C108">
      <w:pPr>
        <w:keepNext w:val="0"/>
        <w:keepLines w:val="0"/>
        <w:widowControl w:val="0"/>
        <w:suppressLineNumbers w:val="0"/>
        <w:spacing w:before="0" w:beforeAutospacing="0" w:after="0" w:afterAutospacing="0" w:line="360" w:lineRule="auto"/>
        <w:ind w:left="0" w:right="0" w:firstLine="560" w:firstLineChars="200"/>
        <w:jc w:val="both"/>
        <w:rPr>
          <w:rFonts w:hint="default" w:ascii="Times New Roman" w:hAnsi="Times New Roman" w:eastAsia="宋体" w:cs="Times New Roman"/>
          <w:kern w:val="2"/>
          <w:sz w:val="28"/>
          <w:szCs w:val="28"/>
          <w:lang w:val="en-US"/>
          <w:woUserID w:val="1"/>
        </w:rPr>
      </w:pPr>
      <w:r>
        <w:rPr>
          <w:rFonts w:hint="default" w:ascii="Times New Roman" w:hAnsi="Times New Roman" w:eastAsia="宋体" w:cs="Times New Roman"/>
          <w:color w:val="auto"/>
          <w:kern w:val="2"/>
          <w:sz w:val="28"/>
          <w:szCs w:val="28"/>
          <w:lang w:val="en-US" w:eastAsia="zh-CN" w:bidi="ar"/>
          <w:woUserID w:val="1"/>
        </w:rPr>
        <w:t>3</w:t>
      </w:r>
      <w:r>
        <w:rPr>
          <w:rFonts w:hint="eastAsia" w:ascii="宋体" w:hAnsi="宋体" w:eastAsia="宋体" w:cs="宋体"/>
          <w:color w:val="auto"/>
          <w:kern w:val="2"/>
          <w:sz w:val="28"/>
          <w:szCs w:val="28"/>
          <w:lang w:val="en-US" w:eastAsia="zh-CN" w:bidi="ar"/>
          <w:woUserID w:val="1"/>
        </w:rPr>
        <w:t>）组织近30家</w:t>
      </w:r>
      <w:r>
        <w:rPr>
          <w:rFonts w:hint="eastAsia" w:ascii="宋体" w:hAnsi="宋体" w:eastAsia="宋体" w:cs="宋体"/>
          <w:color w:val="auto"/>
          <w:kern w:val="2"/>
          <w:sz w:val="28"/>
          <w:szCs w:val="28"/>
          <w:lang w:val="en-US" w:eastAsia="zh" w:bidi="ar"/>
          <w:woUserID w:val="1"/>
        </w:rPr>
        <w:t>参编</w:t>
      </w:r>
      <w:r>
        <w:rPr>
          <w:rFonts w:hint="eastAsia" w:ascii="宋体" w:hAnsi="宋体" w:eastAsia="宋体" w:cs="宋体"/>
          <w:color w:val="auto"/>
          <w:kern w:val="2"/>
          <w:sz w:val="28"/>
          <w:szCs w:val="28"/>
          <w:lang w:val="en-US" w:eastAsia="zh-CN" w:bidi="ar"/>
          <w:woUserID w:val="1"/>
        </w:rPr>
        <w:t>单位针对主要技术问题多次召开线上线下的</w:t>
      </w:r>
      <w:r>
        <w:rPr>
          <w:rFonts w:hint="eastAsia" w:ascii="宋体" w:hAnsi="宋体" w:eastAsia="宋体" w:cs="宋体"/>
          <w:color w:val="auto"/>
          <w:kern w:val="2"/>
          <w:sz w:val="28"/>
          <w:szCs w:val="28"/>
          <w:lang w:val="en-US" w:eastAsia="zh" w:bidi="ar"/>
          <w:woUserID w:val="1"/>
        </w:rPr>
        <w:t>研讨会</w:t>
      </w:r>
      <w:r>
        <w:rPr>
          <w:rFonts w:hint="eastAsia" w:ascii="宋体" w:hAnsi="宋体" w:eastAsia="宋体" w:cs="宋体"/>
          <w:color w:val="auto"/>
          <w:kern w:val="2"/>
          <w:sz w:val="28"/>
          <w:szCs w:val="28"/>
          <w:lang w:val="en-US" w:eastAsia="zh-CN" w:bidi="ar"/>
          <w:woUserID w:val="1"/>
        </w:rPr>
        <w:t>，对标准中的核心问题广泛吸纳了相关单位的专业意见和建议。</w:t>
      </w:r>
    </w:p>
    <w:p w14:paraId="2E9699F8">
      <w:pPr>
        <w:keepNext w:val="0"/>
        <w:keepLines w:val="0"/>
        <w:widowControl w:val="0"/>
        <w:suppressLineNumbers w:val="0"/>
        <w:spacing w:before="0" w:beforeAutospacing="0" w:after="0" w:afterAutospacing="0" w:line="360" w:lineRule="auto"/>
        <w:ind w:left="0" w:right="0" w:firstLine="560" w:firstLineChars="200"/>
        <w:jc w:val="both"/>
        <w:rPr>
          <w:rFonts w:hint="eastAsia" w:ascii="宋体" w:hAnsi="宋体" w:eastAsia="宋体" w:cs="宋体"/>
          <w:color w:val="auto"/>
          <w:kern w:val="2"/>
          <w:sz w:val="28"/>
          <w:szCs w:val="28"/>
          <w:lang w:val="en-US" w:eastAsia="zh-CN" w:bidi="ar"/>
          <w:woUserID w:val="1"/>
        </w:rPr>
      </w:pPr>
      <w:r>
        <w:rPr>
          <w:rFonts w:hint="default" w:ascii="Times New Roman" w:hAnsi="Times New Roman" w:eastAsia="宋体" w:cs="Times New Roman"/>
          <w:color w:val="auto"/>
          <w:kern w:val="2"/>
          <w:sz w:val="28"/>
          <w:szCs w:val="28"/>
          <w:lang w:val="en-US" w:eastAsia="zh-CN" w:bidi="ar"/>
          <w:woUserID w:val="1"/>
        </w:rPr>
        <w:t>4</w:t>
      </w:r>
      <w:r>
        <w:rPr>
          <w:rFonts w:hint="eastAsia" w:ascii="宋体" w:hAnsi="宋体" w:eastAsia="宋体" w:cs="宋体"/>
          <w:color w:val="auto"/>
          <w:kern w:val="2"/>
          <w:sz w:val="28"/>
          <w:szCs w:val="28"/>
          <w:lang w:val="en-US" w:eastAsia="zh-CN" w:bidi="ar"/>
          <w:woUserID w:val="1"/>
        </w:rPr>
        <w:t>）咨询</w:t>
      </w:r>
      <w:r>
        <w:rPr>
          <w:rFonts w:hint="eastAsia" w:ascii="宋体" w:hAnsi="宋体" w:eastAsia="宋体" w:cs="宋体"/>
          <w:color w:val="auto"/>
          <w:kern w:val="2"/>
          <w:sz w:val="28"/>
          <w:szCs w:val="28"/>
          <w:lang w:val="en-US" w:eastAsia="zh" w:bidi="ar"/>
          <w:woUserID w:val="1"/>
        </w:rPr>
        <w:t>生活污水</w:t>
      </w:r>
      <w:r>
        <w:rPr>
          <w:rFonts w:hint="eastAsia" w:ascii="宋体" w:hAnsi="宋体" w:eastAsia="宋体" w:cs="宋体"/>
          <w:color w:val="auto"/>
          <w:kern w:val="2"/>
          <w:sz w:val="28"/>
          <w:szCs w:val="28"/>
          <w:lang w:val="en-US" w:eastAsia="zh-CN" w:bidi="ar"/>
          <w:woUserID w:val="1"/>
        </w:rPr>
        <w:t>处理企业、碳排放核算以及标准化研究等领域多位学者和行业专家意见，并在</w:t>
      </w:r>
      <w:r>
        <w:rPr>
          <w:rFonts w:hint="eastAsia" w:ascii="宋体" w:hAnsi="宋体" w:eastAsia="宋体" w:cs="宋体"/>
          <w:color w:val="auto"/>
          <w:kern w:val="2"/>
          <w:sz w:val="28"/>
          <w:szCs w:val="28"/>
          <w:lang w:val="en-US" w:eastAsia="zh" w:bidi="ar"/>
          <w:woUserID w:val="1"/>
        </w:rPr>
        <w:t>长江生态</w:t>
      </w:r>
      <w:r>
        <w:rPr>
          <w:rFonts w:hint="eastAsia" w:ascii="宋体" w:hAnsi="宋体" w:eastAsia="宋体" w:cs="宋体"/>
          <w:color w:val="auto"/>
          <w:kern w:val="2"/>
          <w:sz w:val="28"/>
          <w:szCs w:val="28"/>
          <w:lang w:val="en-US" w:eastAsia="zh-CN" w:bidi="ar"/>
          <w:woUserID w:val="1"/>
        </w:rPr>
        <w:t>环保集团、</w:t>
      </w:r>
      <w:r>
        <w:rPr>
          <w:rFonts w:hint="eastAsia" w:ascii="宋体" w:hAnsi="宋体" w:eastAsia="宋体" w:cs="宋体"/>
          <w:color w:val="auto"/>
          <w:kern w:val="2"/>
          <w:sz w:val="28"/>
          <w:szCs w:val="28"/>
          <w:lang w:val="en-US" w:eastAsia="zh" w:bidi="ar"/>
          <w:woUserID w:val="1"/>
        </w:rPr>
        <w:t>中</w:t>
      </w:r>
      <w:r>
        <w:rPr>
          <w:rFonts w:hint="eastAsia" w:ascii="宋体" w:hAnsi="宋体" w:eastAsia="宋体" w:cs="宋体"/>
          <w:color w:val="auto"/>
          <w:kern w:val="2"/>
          <w:sz w:val="28"/>
          <w:szCs w:val="28"/>
          <w:lang w:val="en-US" w:eastAsia="zh-CN" w:bidi="ar"/>
          <w:woUserID w:val="1"/>
        </w:rPr>
        <w:t>环保水务有限公司和中国水务投资集团有限公司的协助下开展</w:t>
      </w:r>
      <w:r>
        <w:rPr>
          <w:rFonts w:hint="eastAsia" w:ascii="宋体" w:hAnsi="宋体" w:eastAsia="宋体" w:cs="宋体"/>
          <w:color w:val="auto"/>
          <w:kern w:val="2"/>
          <w:sz w:val="28"/>
          <w:szCs w:val="28"/>
          <w:lang w:val="en-US" w:eastAsia="zh" w:bidi="ar"/>
          <w:woUserID w:val="1"/>
        </w:rPr>
        <w:t>试算，试算</w:t>
      </w:r>
      <w:r>
        <w:rPr>
          <w:rFonts w:hint="eastAsia" w:ascii="宋体" w:hAnsi="宋体" w:eastAsia="宋体" w:cs="宋体"/>
          <w:color w:val="auto"/>
          <w:kern w:val="2"/>
          <w:sz w:val="28"/>
          <w:szCs w:val="28"/>
          <w:lang w:val="en-US" w:eastAsia="zh-CN" w:bidi="ar"/>
          <w:woUserID w:val="1"/>
        </w:rPr>
        <w:t>结果见下表</w:t>
      </w:r>
      <w:r>
        <w:rPr>
          <w:rFonts w:hint="default" w:ascii="Times New Roman" w:hAnsi="Times New Roman" w:eastAsia="宋体" w:cs="Times New Roman"/>
          <w:color w:val="auto"/>
          <w:kern w:val="2"/>
          <w:sz w:val="28"/>
          <w:szCs w:val="28"/>
          <w:lang w:val="en-US" w:eastAsia="zh-CN" w:bidi="ar"/>
          <w:woUserID w:val="1"/>
        </w:rPr>
        <w:t>3～5</w:t>
      </w:r>
      <w:r>
        <w:rPr>
          <w:rFonts w:hint="eastAsia" w:ascii="宋体" w:hAnsi="宋体" w:eastAsia="宋体" w:cs="宋体"/>
          <w:color w:val="auto"/>
          <w:kern w:val="2"/>
          <w:sz w:val="28"/>
          <w:szCs w:val="28"/>
          <w:lang w:val="en-US" w:eastAsia="zh-CN" w:bidi="ar"/>
          <w:woUserID w:val="1"/>
        </w:rPr>
        <w:t>所示。企业反映本标准计量监测体系较为科学、规定简明清晰，与相关碳核查规范及用能管理要求相一致，具备较强的可操作性。</w:t>
      </w:r>
    </w:p>
    <w:p w14:paraId="3EF38A31">
      <w:pPr>
        <w:keepNext w:val="0"/>
        <w:keepLines w:val="0"/>
        <w:widowControl w:val="0"/>
        <w:suppressLineNumbers w:val="0"/>
        <w:spacing w:before="0" w:beforeAutospacing="0" w:after="0" w:afterAutospacing="0" w:line="360" w:lineRule="auto"/>
        <w:ind w:left="0" w:right="0" w:firstLine="560" w:firstLineChars="200"/>
        <w:jc w:val="both"/>
        <w:rPr>
          <w:rFonts w:hint="default" w:ascii="Times New Roman" w:hAnsi="Times New Roman" w:eastAsia="宋体" w:cs="Times New Roman"/>
          <w:color w:val="auto"/>
          <w:kern w:val="2"/>
          <w:sz w:val="28"/>
          <w:szCs w:val="28"/>
          <w:lang w:val="en-US" w:eastAsia="zh-CN" w:bidi="ar"/>
          <w:woUserID w:val="1"/>
        </w:rPr>
      </w:pPr>
      <w:r>
        <w:rPr>
          <w:rFonts w:hint="default" w:ascii="Times New Roman" w:hAnsi="Times New Roman" w:eastAsia="宋体" w:cs="Times New Roman"/>
          <w:color w:val="auto"/>
          <w:kern w:val="2"/>
          <w:sz w:val="28"/>
          <w:szCs w:val="28"/>
          <w:lang w:val="en-US" w:eastAsia="zh-CN" w:bidi="ar"/>
          <w:woUserID w:val="1"/>
        </w:rPr>
        <w:t>表3. 参与试算的三家企业的活动水平</w:t>
      </w:r>
    </w:p>
    <w:tbl>
      <w:tblPr>
        <w:tblStyle w:val="89"/>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6"/>
        <w:gridCol w:w="1816"/>
        <w:gridCol w:w="1751"/>
        <w:gridCol w:w="866"/>
        <w:gridCol w:w="768"/>
        <w:gridCol w:w="768"/>
      </w:tblGrid>
      <w:tr w14:paraId="4D1854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37" w:hRule="atLeast"/>
          <w:jc w:val="center"/>
        </w:trPr>
        <w:tc>
          <w:tcPr>
            <w:tcW w:w="0" w:type="auto"/>
            <w:vAlign w:val="center"/>
          </w:tcPr>
          <w:p w14:paraId="4EDC1661">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bCs/>
                <w:color w:val="000000"/>
                <w:sz w:val="20"/>
                <w:szCs w:val="20"/>
                <w:highlight w:val="none"/>
              </w:rPr>
            </w:pPr>
            <w:r>
              <w:rPr>
                <w:rFonts w:hint="default" w:ascii="Times New Roman" w:hAnsi="Times New Roman" w:eastAsia="宋体" w:cs="Times New Roman"/>
                <w:b/>
                <w:bCs/>
                <w:color w:val="000000"/>
                <w:sz w:val="20"/>
                <w:szCs w:val="20"/>
                <w:highlight w:val="none"/>
              </w:rPr>
              <w:t>排放源</w:t>
            </w:r>
          </w:p>
        </w:tc>
        <w:tc>
          <w:tcPr>
            <w:tcW w:w="0" w:type="auto"/>
            <w:vAlign w:val="center"/>
          </w:tcPr>
          <w:p w14:paraId="034B920E">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bCs/>
                <w:color w:val="000000"/>
                <w:sz w:val="20"/>
                <w:szCs w:val="20"/>
                <w:highlight w:val="none"/>
                <w:lang w:val="en-US" w:eastAsia="zh-CN"/>
              </w:rPr>
            </w:pPr>
            <w:r>
              <w:rPr>
                <w:rFonts w:hint="default" w:ascii="Times New Roman" w:hAnsi="Times New Roman" w:eastAsia="宋体" w:cs="Times New Roman"/>
                <w:b/>
                <w:bCs/>
                <w:color w:val="000000"/>
                <w:sz w:val="20"/>
                <w:szCs w:val="20"/>
                <w:highlight w:val="none"/>
                <w:lang w:val="en-US" w:eastAsia="zh-CN"/>
              </w:rPr>
              <w:t>活动水平</w:t>
            </w:r>
          </w:p>
          <w:p w14:paraId="6D2DBA01">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bCs/>
                <w:color w:val="000000"/>
                <w:sz w:val="20"/>
                <w:szCs w:val="20"/>
                <w:highlight w:val="none"/>
                <w:lang w:val="en-US"/>
              </w:rPr>
            </w:pPr>
            <w:r>
              <w:rPr>
                <w:rFonts w:hint="default" w:ascii="Times New Roman" w:hAnsi="Times New Roman" w:eastAsia="宋体" w:cs="Times New Roman"/>
                <w:b/>
                <w:bCs/>
                <w:color w:val="000000"/>
                <w:sz w:val="20"/>
                <w:szCs w:val="20"/>
                <w:highlight w:val="none"/>
                <w:lang w:val="en-US" w:eastAsia="zh-CN"/>
              </w:rPr>
              <w:t>（年均值）</w:t>
            </w:r>
          </w:p>
        </w:tc>
        <w:tc>
          <w:tcPr>
            <w:tcW w:w="0" w:type="auto"/>
            <w:vAlign w:val="center"/>
          </w:tcPr>
          <w:p w14:paraId="02456169">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bCs/>
                <w:color w:val="000000"/>
                <w:sz w:val="20"/>
                <w:szCs w:val="20"/>
                <w:highlight w:val="none"/>
                <w:lang w:val="en-US" w:eastAsia="zh-CN"/>
              </w:rPr>
            </w:pPr>
            <w:r>
              <w:rPr>
                <w:rFonts w:hint="default" w:ascii="Times New Roman" w:hAnsi="Times New Roman" w:eastAsia="宋体" w:cs="Times New Roman"/>
                <w:b/>
                <w:bCs/>
                <w:color w:val="000000"/>
                <w:sz w:val="20"/>
                <w:szCs w:val="20"/>
                <w:highlight w:val="none"/>
                <w:lang w:val="en-US" w:eastAsia="zh-CN"/>
              </w:rPr>
              <w:t>单位</w:t>
            </w:r>
          </w:p>
        </w:tc>
        <w:tc>
          <w:tcPr>
            <w:tcW w:w="0" w:type="auto"/>
            <w:vAlign w:val="center"/>
          </w:tcPr>
          <w:p w14:paraId="0C31B273">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bCs/>
                <w:color w:val="000000"/>
                <w:sz w:val="20"/>
                <w:szCs w:val="20"/>
                <w:highlight w:val="none"/>
                <w:lang w:val="en-US" w:eastAsia="zh-CN"/>
              </w:rPr>
            </w:pPr>
            <w:r>
              <w:rPr>
                <w:rFonts w:hint="default" w:ascii="Times New Roman" w:hAnsi="Times New Roman" w:eastAsia="宋体" w:cs="Times New Roman"/>
                <w:b/>
                <w:bCs/>
                <w:color w:val="000000"/>
                <w:sz w:val="20"/>
                <w:szCs w:val="20"/>
                <w:highlight w:val="none"/>
                <w:lang w:val="en-US" w:eastAsia="zh-CN"/>
              </w:rPr>
              <w:t>企业1</w:t>
            </w:r>
          </w:p>
        </w:tc>
        <w:tc>
          <w:tcPr>
            <w:tcW w:w="0" w:type="auto"/>
            <w:vAlign w:val="center"/>
          </w:tcPr>
          <w:p w14:paraId="38D0CA4A">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bCs/>
                <w:color w:val="000000"/>
                <w:sz w:val="20"/>
                <w:szCs w:val="20"/>
                <w:highlight w:val="none"/>
                <w:lang w:val="en-US" w:eastAsia="zh-CN"/>
              </w:rPr>
            </w:pPr>
            <w:r>
              <w:rPr>
                <w:rFonts w:hint="default" w:ascii="Times New Roman" w:hAnsi="Times New Roman" w:eastAsia="宋体" w:cs="Times New Roman"/>
                <w:b/>
                <w:bCs/>
                <w:color w:val="000000"/>
                <w:sz w:val="20"/>
                <w:szCs w:val="20"/>
                <w:highlight w:val="none"/>
                <w:lang w:val="en-US" w:eastAsia="zh-CN"/>
              </w:rPr>
              <w:t>企业2</w:t>
            </w:r>
          </w:p>
        </w:tc>
        <w:tc>
          <w:tcPr>
            <w:tcW w:w="0" w:type="auto"/>
            <w:vAlign w:val="center"/>
          </w:tcPr>
          <w:p w14:paraId="5D161FF8">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bCs/>
                <w:color w:val="000000"/>
                <w:sz w:val="20"/>
                <w:szCs w:val="20"/>
                <w:highlight w:val="none"/>
                <w:lang w:val="en-US" w:eastAsia="zh-CN"/>
              </w:rPr>
            </w:pPr>
            <w:r>
              <w:rPr>
                <w:rFonts w:hint="default" w:ascii="Times New Roman" w:hAnsi="Times New Roman" w:eastAsia="宋体" w:cs="Times New Roman"/>
                <w:b/>
                <w:bCs/>
                <w:color w:val="000000"/>
                <w:sz w:val="20"/>
                <w:szCs w:val="20"/>
                <w:highlight w:val="none"/>
                <w:lang w:val="en-US" w:eastAsia="zh-CN"/>
              </w:rPr>
              <w:t>企业3</w:t>
            </w:r>
          </w:p>
        </w:tc>
      </w:tr>
      <w:tr w14:paraId="187F6B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0" w:type="auto"/>
            <w:vMerge w:val="restart"/>
            <w:vAlign w:val="center"/>
          </w:tcPr>
          <w:p w14:paraId="2A4B424C">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污水处理</w:t>
            </w:r>
          </w:p>
        </w:tc>
        <w:tc>
          <w:tcPr>
            <w:tcW w:w="0" w:type="auto"/>
            <w:vAlign w:val="center"/>
          </w:tcPr>
          <w:p w14:paraId="3BD424E2">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lang w:val="en-US" w:eastAsia="zh-CN"/>
              </w:rPr>
              <w:t>污水处理量</w:t>
            </w:r>
          </w:p>
        </w:tc>
        <w:tc>
          <w:tcPr>
            <w:tcW w:w="0" w:type="auto"/>
            <w:vAlign w:val="center"/>
          </w:tcPr>
          <w:p w14:paraId="2D2A3E8E">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lang w:val="en-US" w:eastAsia="zh-CN"/>
              </w:rPr>
            </w:pPr>
            <w:r>
              <w:rPr>
                <w:rFonts w:hint="default" w:ascii="Times New Roman" w:hAnsi="Times New Roman" w:eastAsia="宋体" w:cs="Times New Roman"/>
                <w:kern w:val="0"/>
                <w:sz w:val="20"/>
                <w:szCs w:val="20"/>
                <w:highlight w:val="none"/>
                <w:lang w:val="en-US" w:eastAsia="zh-CN"/>
              </w:rPr>
              <w:t>万立方米，10</w:t>
            </w:r>
            <w:r>
              <w:rPr>
                <w:rFonts w:hint="default" w:ascii="Times New Roman" w:hAnsi="Times New Roman" w:eastAsia="宋体" w:cs="Times New Roman"/>
                <w:kern w:val="0"/>
                <w:sz w:val="20"/>
                <w:szCs w:val="20"/>
                <w:highlight w:val="none"/>
                <w:vertAlign w:val="superscript"/>
                <w:lang w:val="en-US" w:eastAsia="zh-CN"/>
              </w:rPr>
              <w:t>4</w:t>
            </w:r>
            <w:r>
              <w:rPr>
                <w:rFonts w:hint="default" w:ascii="Times New Roman" w:hAnsi="Times New Roman" w:eastAsia="宋体" w:cs="Times New Roman"/>
                <w:kern w:val="0"/>
                <w:sz w:val="20"/>
                <w:szCs w:val="20"/>
                <w:highlight w:val="none"/>
                <w:lang w:val="en-US" w:eastAsia="zh-CN"/>
              </w:rPr>
              <w:t xml:space="preserve"> </w:t>
            </w:r>
            <w:r>
              <w:rPr>
                <w:rFonts w:hint="default" w:ascii="Times New Roman" w:hAnsi="Times New Roman" w:eastAsia="宋体" w:cs="Times New Roman"/>
                <w:kern w:val="0"/>
                <w:sz w:val="20"/>
                <w:szCs w:val="20"/>
                <w:highlight w:val="none"/>
              </w:rPr>
              <w:t>m</w:t>
            </w:r>
            <w:r>
              <w:rPr>
                <w:rFonts w:hint="default" w:ascii="Times New Roman" w:hAnsi="Times New Roman" w:eastAsia="宋体" w:cs="Times New Roman"/>
                <w:kern w:val="0"/>
                <w:sz w:val="20"/>
                <w:szCs w:val="20"/>
                <w:highlight w:val="none"/>
                <w:vertAlign w:val="superscript"/>
              </w:rPr>
              <w:t>3</w:t>
            </w:r>
          </w:p>
        </w:tc>
        <w:tc>
          <w:tcPr>
            <w:tcW w:w="0" w:type="auto"/>
            <w:vAlign w:val="center"/>
          </w:tcPr>
          <w:p w14:paraId="37E2D8B9">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sz w:val="20"/>
                <w:szCs w:val="20"/>
                <w:highlight w:val="none"/>
                <w:lang w:eastAsia="zh-CN"/>
              </w:rPr>
            </w:pPr>
            <w:r>
              <w:rPr>
                <w:rFonts w:hint="default" w:ascii="Times New Roman" w:hAnsi="Times New Roman" w:eastAsia="宋体" w:cs="Times New Roman"/>
                <w:kern w:val="0"/>
                <w:sz w:val="20"/>
                <w:szCs w:val="20"/>
              </w:rPr>
              <w:t>996</w:t>
            </w:r>
          </w:p>
        </w:tc>
        <w:tc>
          <w:tcPr>
            <w:tcW w:w="0" w:type="auto"/>
            <w:vAlign w:val="center"/>
          </w:tcPr>
          <w:p w14:paraId="3A054238">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lang w:val="en-US" w:eastAsia="zh-CN"/>
              </w:rPr>
            </w:pPr>
            <w:r>
              <w:rPr>
                <w:rFonts w:hint="default" w:ascii="Times New Roman" w:hAnsi="Times New Roman" w:eastAsia="宋体" w:cs="Times New Roman"/>
                <w:kern w:val="0"/>
                <w:sz w:val="20"/>
                <w:szCs w:val="20"/>
                <w:highlight w:val="none"/>
                <w:lang w:val="en-US" w:eastAsia="zh-CN"/>
              </w:rPr>
              <w:t>337</w:t>
            </w:r>
          </w:p>
        </w:tc>
        <w:tc>
          <w:tcPr>
            <w:tcW w:w="0" w:type="auto"/>
            <w:vAlign w:val="center"/>
          </w:tcPr>
          <w:p w14:paraId="10582AE7">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lang w:val="en-US" w:eastAsia="zh-CN"/>
              </w:rPr>
            </w:pPr>
            <w:r>
              <w:rPr>
                <w:rFonts w:hint="default" w:ascii="Times New Roman" w:hAnsi="Times New Roman" w:eastAsia="宋体" w:cs="Times New Roman"/>
                <w:kern w:val="0"/>
                <w:sz w:val="20"/>
                <w:szCs w:val="20"/>
                <w:highlight w:val="none"/>
                <w:lang w:val="en-US" w:eastAsia="zh-CN"/>
              </w:rPr>
              <w:t>1585.1</w:t>
            </w:r>
          </w:p>
        </w:tc>
      </w:tr>
      <w:tr w14:paraId="6DD40C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0" w:type="auto"/>
            <w:vMerge w:val="continue"/>
            <w:vAlign w:val="center"/>
          </w:tcPr>
          <w:p w14:paraId="31CC6B43">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sz w:val="20"/>
                <w:szCs w:val="20"/>
                <w:highlight w:val="none"/>
              </w:rPr>
            </w:pPr>
          </w:p>
        </w:tc>
        <w:tc>
          <w:tcPr>
            <w:tcW w:w="0" w:type="auto"/>
            <w:shd w:val="clear" w:color="auto" w:fill="auto"/>
            <w:vAlign w:val="center"/>
          </w:tcPr>
          <w:p w14:paraId="218D68D6">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lang w:val="en-US" w:eastAsia="zh-CN"/>
              </w:rPr>
              <w:t>进水COD浓度</w:t>
            </w:r>
          </w:p>
        </w:tc>
        <w:tc>
          <w:tcPr>
            <w:tcW w:w="0" w:type="auto"/>
            <w:shd w:val="clear" w:color="auto" w:fill="auto"/>
            <w:vAlign w:val="center"/>
          </w:tcPr>
          <w:p w14:paraId="16CCFE4E">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lang w:val="en-US" w:eastAsia="zh-CN"/>
              </w:rPr>
            </w:pPr>
            <w:r>
              <w:rPr>
                <w:rFonts w:hint="default" w:ascii="Times New Roman" w:hAnsi="Times New Roman" w:eastAsia="宋体" w:cs="Times New Roman"/>
                <w:kern w:val="0"/>
                <w:sz w:val="20"/>
                <w:szCs w:val="20"/>
                <w:highlight w:val="none"/>
                <w:lang w:val="en-US" w:eastAsia="zh-CN"/>
              </w:rPr>
              <w:t>毫克每升，</w:t>
            </w:r>
            <w:r>
              <w:rPr>
                <w:rFonts w:hint="default" w:ascii="Times New Roman" w:hAnsi="Times New Roman" w:eastAsia="宋体" w:cs="Times New Roman"/>
                <w:kern w:val="0"/>
                <w:sz w:val="20"/>
                <w:szCs w:val="20"/>
                <w:highlight w:val="none"/>
              </w:rPr>
              <w:t>mg/L</w:t>
            </w:r>
          </w:p>
        </w:tc>
        <w:tc>
          <w:tcPr>
            <w:tcW w:w="0" w:type="auto"/>
            <w:shd w:val="clear" w:color="auto" w:fill="auto"/>
            <w:vAlign w:val="center"/>
          </w:tcPr>
          <w:p w14:paraId="153CC4E2">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kern w:val="0"/>
                <w:sz w:val="20"/>
                <w:szCs w:val="20"/>
              </w:rPr>
              <w:t>143.19</w:t>
            </w:r>
          </w:p>
        </w:tc>
        <w:tc>
          <w:tcPr>
            <w:tcW w:w="0" w:type="auto"/>
            <w:shd w:val="clear" w:color="auto" w:fill="auto"/>
            <w:vAlign w:val="center"/>
          </w:tcPr>
          <w:p w14:paraId="29673479">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lang w:val="en-US" w:eastAsia="zh-CN"/>
              </w:rPr>
            </w:pPr>
            <w:r>
              <w:rPr>
                <w:rFonts w:hint="default" w:ascii="Times New Roman" w:hAnsi="Times New Roman" w:eastAsia="宋体" w:cs="Times New Roman"/>
                <w:kern w:val="0"/>
                <w:sz w:val="20"/>
                <w:szCs w:val="20"/>
                <w:highlight w:val="none"/>
                <w:lang w:val="en-US" w:eastAsia="zh-CN"/>
              </w:rPr>
              <w:t>212.29</w:t>
            </w:r>
          </w:p>
        </w:tc>
        <w:tc>
          <w:tcPr>
            <w:tcW w:w="0" w:type="auto"/>
            <w:shd w:val="clear" w:color="auto" w:fill="auto"/>
            <w:vAlign w:val="center"/>
          </w:tcPr>
          <w:p w14:paraId="1774E9A8">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lang w:val="en-US" w:eastAsia="zh-CN"/>
              </w:rPr>
            </w:pPr>
            <w:r>
              <w:rPr>
                <w:rFonts w:hint="default" w:ascii="Times New Roman" w:hAnsi="Times New Roman" w:eastAsia="宋体" w:cs="Times New Roman"/>
                <w:kern w:val="0"/>
                <w:sz w:val="20"/>
                <w:szCs w:val="20"/>
                <w:highlight w:val="none"/>
                <w:lang w:val="en-US" w:eastAsia="zh-CN"/>
              </w:rPr>
              <w:t>264</w:t>
            </w:r>
          </w:p>
        </w:tc>
      </w:tr>
      <w:tr w14:paraId="29659B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0" w:type="auto"/>
            <w:vMerge w:val="continue"/>
            <w:vAlign w:val="center"/>
          </w:tcPr>
          <w:p w14:paraId="56633E51">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sz w:val="20"/>
                <w:szCs w:val="20"/>
                <w:highlight w:val="none"/>
              </w:rPr>
            </w:pPr>
          </w:p>
        </w:tc>
        <w:tc>
          <w:tcPr>
            <w:tcW w:w="0" w:type="auto"/>
            <w:shd w:val="clear" w:color="auto" w:fill="auto"/>
            <w:vAlign w:val="center"/>
          </w:tcPr>
          <w:p w14:paraId="01544AFA">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lang w:val="en-US" w:eastAsia="zh-CN"/>
              </w:rPr>
              <w:t>出水COD浓度</w:t>
            </w:r>
          </w:p>
        </w:tc>
        <w:tc>
          <w:tcPr>
            <w:tcW w:w="0" w:type="auto"/>
            <w:shd w:val="clear" w:color="auto" w:fill="auto"/>
            <w:vAlign w:val="center"/>
          </w:tcPr>
          <w:p w14:paraId="5E022FD8">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lang w:val="en-US" w:eastAsia="zh-CN"/>
              </w:rPr>
            </w:pPr>
            <w:r>
              <w:rPr>
                <w:rFonts w:hint="default" w:ascii="Times New Roman" w:hAnsi="Times New Roman" w:eastAsia="宋体" w:cs="Times New Roman"/>
                <w:kern w:val="0"/>
                <w:sz w:val="20"/>
                <w:szCs w:val="20"/>
                <w:highlight w:val="none"/>
                <w:lang w:val="en-US" w:eastAsia="zh-CN"/>
              </w:rPr>
              <w:t>毫克每升，</w:t>
            </w:r>
            <w:r>
              <w:rPr>
                <w:rFonts w:hint="default" w:ascii="Times New Roman" w:hAnsi="Times New Roman" w:eastAsia="宋体" w:cs="Times New Roman"/>
                <w:kern w:val="0"/>
                <w:sz w:val="20"/>
                <w:szCs w:val="20"/>
                <w:highlight w:val="none"/>
              </w:rPr>
              <w:t>mg/L</w:t>
            </w:r>
          </w:p>
        </w:tc>
        <w:tc>
          <w:tcPr>
            <w:tcW w:w="0" w:type="auto"/>
            <w:shd w:val="clear" w:color="auto" w:fill="auto"/>
            <w:vAlign w:val="center"/>
          </w:tcPr>
          <w:p w14:paraId="78583752">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kern w:val="0"/>
                <w:sz w:val="20"/>
                <w:szCs w:val="20"/>
              </w:rPr>
              <w:t>15.98</w:t>
            </w:r>
          </w:p>
        </w:tc>
        <w:tc>
          <w:tcPr>
            <w:tcW w:w="0" w:type="auto"/>
            <w:shd w:val="clear" w:color="auto" w:fill="auto"/>
            <w:vAlign w:val="center"/>
          </w:tcPr>
          <w:p w14:paraId="7468348E">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lang w:val="en-US" w:eastAsia="zh-CN"/>
              </w:rPr>
            </w:pPr>
            <w:r>
              <w:rPr>
                <w:rFonts w:hint="default" w:ascii="Times New Roman" w:hAnsi="Times New Roman" w:eastAsia="宋体" w:cs="Times New Roman"/>
                <w:kern w:val="0"/>
                <w:sz w:val="20"/>
                <w:szCs w:val="20"/>
                <w:highlight w:val="none"/>
                <w:lang w:val="en-US" w:eastAsia="zh-CN"/>
              </w:rPr>
              <w:t>9.39</w:t>
            </w:r>
          </w:p>
        </w:tc>
        <w:tc>
          <w:tcPr>
            <w:tcW w:w="0" w:type="auto"/>
            <w:shd w:val="clear" w:color="auto" w:fill="auto"/>
            <w:vAlign w:val="center"/>
          </w:tcPr>
          <w:p w14:paraId="1330BCDA">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lang w:val="en-US" w:eastAsia="zh-CN"/>
              </w:rPr>
            </w:pPr>
            <w:r>
              <w:rPr>
                <w:rFonts w:hint="default" w:ascii="Times New Roman" w:hAnsi="Times New Roman" w:eastAsia="宋体" w:cs="Times New Roman"/>
                <w:kern w:val="0"/>
                <w:sz w:val="20"/>
                <w:szCs w:val="20"/>
                <w:highlight w:val="none"/>
                <w:lang w:val="en-US" w:eastAsia="zh-CN"/>
              </w:rPr>
              <w:t>15.1</w:t>
            </w:r>
          </w:p>
        </w:tc>
      </w:tr>
      <w:tr w14:paraId="2BE0F3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0" w:type="auto"/>
            <w:vMerge w:val="continue"/>
            <w:vAlign w:val="center"/>
          </w:tcPr>
          <w:p w14:paraId="4BBCDCE2">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sz w:val="20"/>
                <w:szCs w:val="20"/>
                <w:highlight w:val="none"/>
              </w:rPr>
            </w:pPr>
          </w:p>
        </w:tc>
        <w:tc>
          <w:tcPr>
            <w:tcW w:w="0" w:type="auto"/>
            <w:shd w:val="clear" w:color="auto" w:fill="auto"/>
            <w:vAlign w:val="center"/>
          </w:tcPr>
          <w:p w14:paraId="7D2AA07C">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sz w:val="20"/>
                <w:szCs w:val="20"/>
                <w:highlight w:val="none"/>
                <w:lang w:val="en-US" w:eastAsia="zh-CN"/>
              </w:rPr>
            </w:pPr>
            <w:r>
              <w:rPr>
                <w:rFonts w:hint="default" w:ascii="Times New Roman" w:hAnsi="Times New Roman" w:eastAsia="宋体" w:cs="Times New Roman"/>
                <w:color w:val="000000"/>
                <w:sz w:val="20"/>
                <w:szCs w:val="20"/>
                <w:highlight w:val="none"/>
                <w:lang w:val="en-US" w:eastAsia="zh-CN"/>
              </w:rPr>
              <w:t>进水TN浓度</w:t>
            </w:r>
          </w:p>
        </w:tc>
        <w:tc>
          <w:tcPr>
            <w:tcW w:w="0" w:type="auto"/>
            <w:shd w:val="clear" w:color="auto" w:fill="auto"/>
            <w:vAlign w:val="center"/>
          </w:tcPr>
          <w:p w14:paraId="1FEEAFB2">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lang w:val="en-US" w:eastAsia="zh-CN"/>
              </w:rPr>
            </w:pPr>
            <w:r>
              <w:rPr>
                <w:rFonts w:hint="default" w:ascii="Times New Roman" w:hAnsi="Times New Roman" w:eastAsia="宋体" w:cs="Times New Roman"/>
                <w:kern w:val="0"/>
                <w:sz w:val="20"/>
                <w:szCs w:val="20"/>
                <w:highlight w:val="none"/>
                <w:lang w:val="en-US" w:eastAsia="zh-CN"/>
              </w:rPr>
              <w:t>毫克每升，</w:t>
            </w:r>
            <w:r>
              <w:rPr>
                <w:rFonts w:hint="default" w:ascii="Times New Roman" w:hAnsi="Times New Roman" w:eastAsia="宋体" w:cs="Times New Roman"/>
                <w:kern w:val="0"/>
                <w:sz w:val="20"/>
                <w:szCs w:val="20"/>
                <w:highlight w:val="none"/>
              </w:rPr>
              <w:t>mg/L</w:t>
            </w:r>
          </w:p>
        </w:tc>
        <w:tc>
          <w:tcPr>
            <w:tcW w:w="0" w:type="auto"/>
            <w:shd w:val="clear" w:color="auto" w:fill="auto"/>
            <w:vAlign w:val="center"/>
          </w:tcPr>
          <w:p w14:paraId="1D249997">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20"/>
                <w:szCs w:val="20"/>
              </w:rPr>
              <w:t>29.63</w:t>
            </w:r>
          </w:p>
        </w:tc>
        <w:tc>
          <w:tcPr>
            <w:tcW w:w="0" w:type="auto"/>
            <w:shd w:val="clear" w:color="auto" w:fill="auto"/>
            <w:vAlign w:val="center"/>
          </w:tcPr>
          <w:p w14:paraId="7DF33202">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lang w:val="en-US" w:eastAsia="zh-CN"/>
              </w:rPr>
            </w:pPr>
            <w:r>
              <w:rPr>
                <w:rFonts w:hint="default" w:ascii="Times New Roman" w:hAnsi="Times New Roman" w:eastAsia="宋体" w:cs="Times New Roman"/>
                <w:color w:val="000000"/>
                <w:sz w:val="20"/>
                <w:szCs w:val="20"/>
                <w:highlight w:val="none"/>
                <w:lang w:val="en-US" w:eastAsia="zh-CN"/>
              </w:rPr>
              <w:t>23.32</w:t>
            </w:r>
          </w:p>
        </w:tc>
        <w:tc>
          <w:tcPr>
            <w:tcW w:w="0" w:type="auto"/>
            <w:shd w:val="clear" w:color="auto" w:fill="auto"/>
            <w:vAlign w:val="center"/>
          </w:tcPr>
          <w:p w14:paraId="240360CB">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lang w:val="en-US" w:eastAsia="zh-CN"/>
              </w:rPr>
            </w:pPr>
            <w:r>
              <w:rPr>
                <w:rFonts w:hint="default" w:ascii="Times New Roman" w:hAnsi="Times New Roman" w:eastAsia="宋体" w:cs="Times New Roman"/>
                <w:kern w:val="0"/>
                <w:sz w:val="20"/>
                <w:szCs w:val="20"/>
                <w:highlight w:val="none"/>
                <w:lang w:val="en-US" w:eastAsia="zh-CN"/>
              </w:rPr>
              <w:t>0</w:t>
            </w:r>
          </w:p>
        </w:tc>
      </w:tr>
      <w:tr w14:paraId="175943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0" w:type="auto"/>
            <w:vMerge w:val="continue"/>
            <w:vAlign w:val="center"/>
          </w:tcPr>
          <w:p w14:paraId="5005B12F">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sz w:val="20"/>
                <w:szCs w:val="20"/>
                <w:highlight w:val="none"/>
              </w:rPr>
            </w:pPr>
          </w:p>
        </w:tc>
        <w:tc>
          <w:tcPr>
            <w:tcW w:w="0" w:type="auto"/>
            <w:shd w:val="clear" w:color="auto" w:fill="auto"/>
            <w:vAlign w:val="center"/>
          </w:tcPr>
          <w:p w14:paraId="20BF7B94">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sz w:val="20"/>
                <w:szCs w:val="20"/>
                <w:highlight w:val="none"/>
                <w:lang w:val="en-US" w:eastAsia="zh-CN"/>
              </w:rPr>
            </w:pPr>
            <w:r>
              <w:rPr>
                <w:rFonts w:hint="default" w:ascii="Times New Roman" w:hAnsi="Times New Roman" w:eastAsia="宋体" w:cs="Times New Roman"/>
                <w:color w:val="000000"/>
                <w:sz w:val="20"/>
                <w:szCs w:val="20"/>
                <w:highlight w:val="none"/>
                <w:lang w:val="en-US" w:eastAsia="zh-CN"/>
              </w:rPr>
              <w:t>出水TN浓度</w:t>
            </w:r>
          </w:p>
        </w:tc>
        <w:tc>
          <w:tcPr>
            <w:tcW w:w="0" w:type="auto"/>
            <w:shd w:val="clear" w:color="auto" w:fill="auto"/>
            <w:vAlign w:val="center"/>
          </w:tcPr>
          <w:p w14:paraId="56C66AB6">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lang w:val="en-US" w:eastAsia="zh-CN"/>
              </w:rPr>
            </w:pPr>
            <w:r>
              <w:rPr>
                <w:rFonts w:hint="default" w:ascii="Times New Roman" w:hAnsi="Times New Roman" w:eastAsia="宋体" w:cs="Times New Roman"/>
                <w:kern w:val="0"/>
                <w:sz w:val="20"/>
                <w:szCs w:val="20"/>
                <w:highlight w:val="none"/>
                <w:lang w:val="en-US" w:eastAsia="zh-CN"/>
              </w:rPr>
              <w:t>毫克每升，</w:t>
            </w:r>
            <w:r>
              <w:rPr>
                <w:rFonts w:hint="default" w:ascii="Times New Roman" w:hAnsi="Times New Roman" w:eastAsia="宋体" w:cs="Times New Roman"/>
                <w:kern w:val="0"/>
                <w:sz w:val="20"/>
                <w:szCs w:val="20"/>
                <w:highlight w:val="none"/>
              </w:rPr>
              <w:t>mg/L</w:t>
            </w:r>
          </w:p>
        </w:tc>
        <w:tc>
          <w:tcPr>
            <w:tcW w:w="0" w:type="auto"/>
            <w:shd w:val="clear" w:color="auto" w:fill="auto"/>
            <w:vAlign w:val="center"/>
          </w:tcPr>
          <w:p w14:paraId="6C51457A">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rPr>
            </w:pPr>
            <w:r>
              <w:rPr>
                <w:rFonts w:hint="default" w:ascii="Times New Roman" w:hAnsi="Times New Roman" w:eastAsia="宋体" w:cs="Times New Roman"/>
                <w:color w:val="000000"/>
                <w:kern w:val="0"/>
                <w:sz w:val="20"/>
                <w:szCs w:val="20"/>
              </w:rPr>
              <w:t>9.31</w:t>
            </w:r>
          </w:p>
        </w:tc>
        <w:tc>
          <w:tcPr>
            <w:tcW w:w="0" w:type="auto"/>
            <w:shd w:val="clear" w:color="auto" w:fill="auto"/>
            <w:vAlign w:val="center"/>
          </w:tcPr>
          <w:p w14:paraId="59FA5112">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lang w:val="en-US" w:eastAsia="zh-CN"/>
              </w:rPr>
            </w:pPr>
            <w:r>
              <w:rPr>
                <w:rFonts w:hint="default" w:ascii="Times New Roman" w:hAnsi="Times New Roman" w:eastAsia="宋体" w:cs="Times New Roman"/>
                <w:color w:val="000000"/>
                <w:sz w:val="20"/>
                <w:szCs w:val="20"/>
                <w:highlight w:val="none"/>
                <w:lang w:val="en-US" w:eastAsia="zh-CN"/>
              </w:rPr>
              <w:t>3.43</w:t>
            </w:r>
          </w:p>
        </w:tc>
        <w:tc>
          <w:tcPr>
            <w:tcW w:w="0" w:type="auto"/>
            <w:shd w:val="clear" w:color="auto" w:fill="auto"/>
            <w:vAlign w:val="center"/>
          </w:tcPr>
          <w:p w14:paraId="4F04C0F8">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lang w:val="en-US" w:eastAsia="zh-CN"/>
              </w:rPr>
            </w:pPr>
            <w:r>
              <w:rPr>
                <w:rFonts w:hint="default" w:ascii="Times New Roman" w:hAnsi="Times New Roman" w:eastAsia="宋体" w:cs="Times New Roman"/>
                <w:kern w:val="0"/>
                <w:sz w:val="20"/>
                <w:szCs w:val="20"/>
                <w:highlight w:val="none"/>
                <w:lang w:val="en-US" w:eastAsia="zh-CN"/>
              </w:rPr>
              <w:t>23.32</w:t>
            </w:r>
          </w:p>
        </w:tc>
      </w:tr>
      <w:tr w14:paraId="5C0986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0" w:type="auto"/>
            <w:vMerge w:val="continue"/>
            <w:vAlign w:val="center"/>
          </w:tcPr>
          <w:p w14:paraId="52CB769D">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sz w:val="20"/>
                <w:szCs w:val="20"/>
                <w:highlight w:val="none"/>
              </w:rPr>
            </w:pPr>
          </w:p>
        </w:tc>
        <w:tc>
          <w:tcPr>
            <w:tcW w:w="0" w:type="auto"/>
            <w:shd w:val="clear" w:color="auto" w:fill="auto"/>
            <w:vAlign w:val="center"/>
          </w:tcPr>
          <w:p w14:paraId="4D32B338">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lang w:val="en-US" w:eastAsia="zh-CN"/>
              </w:rPr>
              <w:t>甲烷回收量</w:t>
            </w:r>
          </w:p>
        </w:tc>
        <w:tc>
          <w:tcPr>
            <w:tcW w:w="0" w:type="auto"/>
            <w:shd w:val="clear" w:color="auto" w:fill="auto"/>
            <w:vAlign w:val="center"/>
          </w:tcPr>
          <w:p w14:paraId="5768C94F">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sz w:val="20"/>
                <w:szCs w:val="20"/>
                <w:highlight w:val="none"/>
                <w:lang w:val="en-US" w:eastAsia="zh-CN"/>
              </w:rPr>
            </w:pPr>
            <w:r>
              <w:rPr>
                <w:rFonts w:hint="default" w:ascii="Times New Roman" w:hAnsi="Times New Roman" w:eastAsia="宋体" w:cs="Times New Roman"/>
                <w:sz w:val="20"/>
                <w:szCs w:val="20"/>
                <w:highlight w:val="none"/>
                <w:lang w:val="en-US" w:eastAsia="zh-CN"/>
              </w:rPr>
              <w:t>吨甲烷，t</w:t>
            </w:r>
            <w:r>
              <w:rPr>
                <w:rFonts w:hint="default" w:ascii="Times New Roman" w:hAnsi="Times New Roman" w:eastAsia="宋体" w:cs="Times New Roman"/>
                <w:sz w:val="20"/>
                <w:szCs w:val="20"/>
                <w:highlight w:val="none"/>
              </w:rPr>
              <w:t>CH</w:t>
            </w:r>
            <w:r>
              <w:rPr>
                <w:rFonts w:hint="default" w:ascii="Times New Roman" w:hAnsi="Times New Roman" w:eastAsia="宋体" w:cs="Times New Roman"/>
                <w:sz w:val="20"/>
                <w:szCs w:val="20"/>
                <w:highlight w:val="none"/>
                <w:vertAlign w:val="subscript"/>
              </w:rPr>
              <w:t>4</w:t>
            </w:r>
          </w:p>
        </w:tc>
        <w:tc>
          <w:tcPr>
            <w:tcW w:w="0" w:type="auto"/>
            <w:shd w:val="clear" w:color="auto" w:fill="auto"/>
            <w:vAlign w:val="center"/>
          </w:tcPr>
          <w:p w14:paraId="2BFDCBD1">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sz w:val="20"/>
                <w:szCs w:val="20"/>
                <w:highlight w:val="none"/>
                <w:lang w:val="en-US" w:eastAsia="zh-CN"/>
              </w:rPr>
            </w:pPr>
            <w:r>
              <w:rPr>
                <w:rFonts w:hint="default" w:ascii="Times New Roman" w:hAnsi="Times New Roman" w:eastAsia="宋体" w:cs="Times New Roman"/>
                <w:color w:val="000000"/>
                <w:sz w:val="20"/>
                <w:szCs w:val="20"/>
                <w:highlight w:val="none"/>
                <w:lang w:val="en-US" w:eastAsia="zh-CN"/>
              </w:rPr>
              <w:t>0</w:t>
            </w:r>
          </w:p>
        </w:tc>
        <w:tc>
          <w:tcPr>
            <w:tcW w:w="0" w:type="auto"/>
            <w:shd w:val="clear" w:color="auto" w:fill="auto"/>
            <w:vAlign w:val="center"/>
          </w:tcPr>
          <w:p w14:paraId="3CDD5B97">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sz w:val="20"/>
                <w:szCs w:val="20"/>
                <w:highlight w:val="none"/>
                <w:lang w:val="en-US" w:eastAsia="zh-CN"/>
              </w:rPr>
            </w:pPr>
            <w:r>
              <w:rPr>
                <w:rFonts w:hint="default" w:ascii="Times New Roman" w:hAnsi="Times New Roman" w:eastAsia="宋体" w:cs="Times New Roman"/>
                <w:sz w:val="20"/>
                <w:szCs w:val="20"/>
                <w:highlight w:val="none"/>
                <w:lang w:val="en-US" w:eastAsia="zh-CN"/>
              </w:rPr>
              <w:t>0</w:t>
            </w:r>
          </w:p>
        </w:tc>
        <w:tc>
          <w:tcPr>
            <w:tcW w:w="0" w:type="auto"/>
            <w:shd w:val="clear" w:color="auto" w:fill="auto"/>
            <w:vAlign w:val="center"/>
          </w:tcPr>
          <w:p w14:paraId="0B845046">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lang w:val="en-US" w:eastAsia="zh-CN"/>
              </w:rPr>
            </w:pPr>
            <w:r>
              <w:rPr>
                <w:rFonts w:hint="default" w:ascii="Times New Roman" w:hAnsi="Times New Roman" w:eastAsia="宋体" w:cs="Times New Roman"/>
                <w:kern w:val="0"/>
                <w:sz w:val="20"/>
                <w:szCs w:val="20"/>
                <w:highlight w:val="none"/>
                <w:lang w:val="en-US" w:eastAsia="zh-CN"/>
              </w:rPr>
              <w:t>3.43</w:t>
            </w:r>
          </w:p>
        </w:tc>
      </w:tr>
      <w:tr w14:paraId="00BD6E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0" w:type="auto"/>
            <w:vMerge w:val="restart"/>
            <w:vAlign w:val="center"/>
          </w:tcPr>
          <w:p w14:paraId="77879CE9">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污泥处理</w:t>
            </w:r>
          </w:p>
        </w:tc>
        <w:tc>
          <w:tcPr>
            <w:tcW w:w="0" w:type="auto"/>
            <w:shd w:val="clear" w:color="auto" w:fill="auto"/>
            <w:vAlign w:val="center"/>
          </w:tcPr>
          <w:p w14:paraId="6BD984BF">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default" w:ascii="Times New Roman" w:hAnsi="Times New Roman" w:eastAsia="宋体" w:cs="Times New Roman"/>
                <w:color w:val="000000"/>
                <w:sz w:val="20"/>
                <w:szCs w:val="20"/>
                <w:highlight w:val="none"/>
                <w:lang w:eastAsia="zh-CN"/>
              </w:rPr>
            </w:pPr>
            <w:r>
              <w:rPr>
                <w:rFonts w:hint="default" w:ascii="Times New Roman" w:hAnsi="Times New Roman" w:eastAsia="宋体" w:cs="Times New Roman"/>
                <w:kern w:val="0"/>
                <w:sz w:val="20"/>
                <w:szCs w:val="20"/>
                <w:highlight w:val="none"/>
                <w:lang w:val="en-US" w:eastAsia="zh-CN"/>
              </w:rPr>
              <w:t>浓缩</w:t>
            </w:r>
            <w:r>
              <w:rPr>
                <w:rFonts w:hint="default" w:ascii="Times New Roman" w:hAnsi="Times New Roman" w:eastAsia="宋体" w:cs="Times New Roman"/>
                <w:kern w:val="0"/>
                <w:sz w:val="20"/>
                <w:szCs w:val="20"/>
                <w:highlight w:val="none"/>
              </w:rPr>
              <w:t>脱水污泥</w:t>
            </w:r>
            <w:r>
              <w:rPr>
                <w:rFonts w:hint="default" w:ascii="Times New Roman" w:hAnsi="Times New Roman" w:eastAsia="宋体" w:cs="Times New Roman"/>
                <w:kern w:val="0"/>
                <w:sz w:val="20"/>
                <w:szCs w:val="20"/>
                <w:highlight w:val="none"/>
                <w:lang w:val="en-US" w:eastAsia="zh-CN"/>
              </w:rPr>
              <w:t>干重</w:t>
            </w:r>
          </w:p>
        </w:tc>
        <w:tc>
          <w:tcPr>
            <w:tcW w:w="0" w:type="auto"/>
            <w:shd w:val="clear" w:color="auto" w:fill="auto"/>
            <w:vAlign w:val="center"/>
          </w:tcPr>
          <w:p w14:paraId="7D1B82D2">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lang w:val="en-US" w:eastAsia="zh-CN"/>
              </w:rPr>
            </w:pPr>
            <w:r>
              <w:rPr>
                <w:rFonts w:hint="default" w:ascii="Times New Roman" w:hAnsi="Times New Roman" w:eastAsia="宋体" w:cs="Times New Roman"/>
                <w:kern w:val="0"/>
                <w:sz w:val="20"/>
                <w:szCs w:val="20"/>
              </w:rPr>
              <w:t>吨，t</w:t>
            </w:r>
            <w:r>
              <w:rPr>
                <w:rFonts w:hint="default" w:ascii="Times New Roman" w:hAnsi="Times New Roman" w:eastAsia="宋体" w:cs="Times New Roman"/>
                <w:kern w:val="0"/>
                <w:sz w:val="20"/>
                <w:szCs w:val="20"/>
                <w:highlight w:val="none"/>
                <w:lang w:eastAsia="zh-CN"/>
              </w:rPr>
              <w:t xml:space="preserve"> </w:t>
            </w:r>
          </w:p>
        </w:tc>
        <w:tc>
          <w:tcPr>
            <w:tcW w:w="0" w:type="auto"/>
            <w:shd w:val="clear" w:color="auto" w:fill="auto"/>
            <w:vAlign w:val="center"/>
          </w:tcPr>
          <w:p w14:paraId="7E9FCB9A">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sz w:val="20"/>
                <w:szCs w:val="20"/>
                <w:highlight w:val="none"/>
                <w:lang w:val="en-US" w:eastAsia="zh-CN"/>
              </w:rPr>
            </w:pPr>
            <w:r>
              <w:rPr>
                <w:rFonts w:hint="default" w:ascii="Times New Roman" w:hAnsi="Times New Roman" w:eastAsia="宋体" w:cs="Times New Roman"/>
                <w:color w:val="000000"/>
                <w:sz w:val="20"/>
                <w:szCs w:val="20"/>
                <w:highlight w:val="none"/>
                <w:lang w:val="en-US" w:eastAsia="zh-CN"/>
              </w:rPr>
              <w:t>4663.7</w:t>
            </w:r>
          </w:p>
        </w:tc>
        <w:tc>
          <w:tcPr>
            <w:tcW w:w="0" w:type="auto"/>
            <w:shd w:val="clear" w:color="auto" w:fill="auto"/>
            <w:vAlign w:val="center"/>
          </w:tcPr>
          <w:p w14:paraId="29350365">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lang w:val="en-US" w:eastAsia="zh-CN"/>
              </w:rPr>
            </w:pPr>
            <w:r>
              <w:rPr>
                <w:rFonts w:hint="default" w:ascii="Times New Roman" w:hAnsi="Times New Roman" w:eastAsia="宋体" w:cs="Times New Roman"/>
                <w:kern w:val="0"/>
                <w:sz w:val="20"/>
                <w:szCs w:val="20"/>
                <w:highlight w:val="none"/>
                <w:lang w:val="en-US" w:eastAsia="zh-CN"/>
              </w:rPr>
              <w:t>3724</w:t>
            </w:r>
          </w:p>
        </w:tc>
        <w:tc>
          <w:tcPr>
            <w:tcW w:w="0" w:type="auto"/>
            <w:shd w:val="clear" w:color="auto" w:fill="auto"/>
            <w:vAlign w:val="center"/>
          </w:tcPr>
          <w:p w14:paraId="7C061815">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lang w:val="en-US" w:eastAsia="zh-CN"/>
              </w:rPr>
            </w:pPr>
            <w:r>
              <w:rPr>
                <w:rFonts w:hint="default" w:ascii="Times New Roman" w:hAnsi="Times New Roman" w:eastAsia="宋体" w:cs="Times New Roman"/>
                <w:kern w:val="0"/>
                <w:sz w:val="20"/>
                <w:szCs w:val="20"/>
                <w:highlight w:val="none"/>
                <w:lang w:val="en-US" w:eastAsia="zh-CN"/>
              </w:rPr>
              <w:t>1585.1</w:t>
            </w:r>
          </w:p>
        </w:tc>
      </w:tr>
      <w:tr w14:paraId="3DDED8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0" w:type="auto"/>
            <w:vMerge w:val="continue"/>
            <w:vAlign w:val="center"/>
          </w:tcPr>
          <w:p w14:paraId="536B8564">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sz w:val="20"/>
                <w:szCs w:val="20"/>
                <w:highlight w:val="none"/>
              </w:rPr>
            </w:pPr>
          </w:p>
        </w:tc>
        <w:tc>
          <w:tcPr>
            <w:tcW w:w="0" w:type="auto"/>
            <w:shd w:val="clear" w:color="auto" w:fill="auto"/>
            <w:vAlign w:val="center"/>
          </w:tcPr>
          <w:p w14:paraId="23BC4652">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好氧发酵污泥干重</w:t>
            </w:r>
          </w:p>
        </w:tc>
        <w:tc>
          <w:tcPr>
            <w:tcW w:w="0" w:type="auto"/>
            <w:shd w:val="clear" w:color="auto" w:fill="auto"/>
            <w:vAlign w:val="center"/>
          </w:tcPr>
          <w:p w14:paraId="031A3D8C">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lang w:val="en-US" w:eastAsia="zh-CN"/>
              </w:rPr>
            </w:pPr>
            <w:r>
              <w:rPr>
                <w:rFonts w:hint="default" w:ascii="Times New Roman" w:hAnsi="Times New Roman" w:eastAsia="宋体" w:cs="Times New Roman"/>
                <w:kern w:val="0"/>
                <w:sz w:val="20"/>
                <w:szCs w:val="20"/>
                <w:highlight w:val="none"/>
              </w:rPr>
              <w:t>吨</w:t>
            </w:r>
            <w:r>
              <w:rPr>
                <w:rFonts w:hint="default" w:ascii="Times New Roman" w:hAnsi="Times New Roman" w:eastAsia="宋体" w:cs="Times New Roman"/>
                <w:kern w:val="0"/>
                <w:sz w:val="20"/>
                <w:szCs w:val="20"/>
                <w:highlight w:val="none"/>
                <w:lang w:eastAsia="zh-CN"/>
              </w:rPr>
              <w:t>，</w:t>
            </w:r>
            <w:r>
              <w:rPr>
                <w:rFonts w:hint="default" w:ascii="Times New Roman" w:hAnsi="Times New Roman" w:eastAsia="宋体" w:cs="Times New Roman"/>
                <w:kern w:val="0"/>
                <w:sz w:val="20"/>
                <w:szCs w:val="20"/>
                <w:highlight w:val="none"/>
              </w:rPr>
              <w:t>t</w:t>
            </w:r>
            <w:r>
              <w:rPr>
                <w:rFonts w:hint="default" w:ascii="Times New Roman" w:hAnsi="Times New Roman" w:eastAsia="宋体" w:cs="Times New Roman"/>
                <w:kern w:val="0"/>
                <w:sz w:val="20"/>
                <w:szCs w:val="20"/>
                <w:highlight w:val="none"/>
                <w:lang w:val="en-US" w:eastAsia="zh-CN"/>
              </w:rPr>
              <w:t>DS</w:t>
            </w:r>
          </w:p>
        </w:tc>
        <w:tc>
          <w:tcPr>
            <w:tcW w:w="0" w:type="auto"/>
            <w:shd w:val="clear" w:color="auto" w:fill="auto"/>
            <w:vAlign w:val="center"/>
          </w:tcPr>
          <w:p w14:paraId="19AB7AB8">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lang w:val="en-US" w:eastAsia="zh-CN"/>
              </w:rPr>
            </w:pPr>
          </w:p>
        </w:tc>
        <w:tc>
          <w:tcPr>
            <w:tcW w:w="0" w:type="auto"/>
            <w:shd w:val="clear" w:color="auto" w:fill="auto"/>
            <w:vAlign w:val="center"/>
          </w:tcPr>
          <w:p w14:paraId="41A293EC">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rPr>
            </w:pPr>
          </w:p>
        </w:tc>
        <w:tc>
          <w:tcPr>
            <w:tcW w:w="0" w:type="auto"/>
            <w:shd w:val="clear" w:color="auto" w:fill="auto"/>
            <w:vAlign w:val="center"/>
          </w:tcPr>
          <w:p w14:paraId="50219BBB">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rPr>
            </w:pPr>
            <w:r>
              <w:rPr>
                <w:rFonts w:hint="default" w:ascii="Times New Roman" w:hAnsi="Times New Roman" w:eastAsia="宋体" w:cs="Times New Roman"/>
                <w:kern w:val="0"/>
                <w:sz w:val="20"/>
                <w:szCs w:val="20"/>
                <w:highlight w:val="none"/>
                <w:lang w:val="en-US"/>
              </w:rPr>
              <w:t>2512.3</w:t>
            </w:r>
          </w:p>
        </w:tc>
      </w:tr>
      <w:tr w14:paraId="21FA0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0" w:type="auto"/>
            <w:vMerge w:val="continue"/>
            <w:vAlign w:val="center"/>
          </w:tcPr>
          <w:p w14:paraId="4D8FA300">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sz w:val="20"/>
                <w:szCs w:val="20"/>
                <w:highlight w:val="none"/>
              </w:rPr>
            </w:pPr>
          </w:p>
        </w:tc>
        <w:tc>
          <w:tcPr>
            <w:tcW w:w="0" w:type="auto"/>
            <w:shd w:val="clear" w:color="auto" w:fill="auto"/>
            <w:vAlign w:val="center"/>
          </w:tcPr>
          <w:p w14:paraId="2533783A">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干化污泥干重</w:t>
            </w:r>
          </w:p>
        </w:tc>
        <w:tc>
          <w:tcPr>
            <w:tcW w:w="0" w:type="auto"/>
            <w:shd w:val="clear" w:color="auto" w:fill="auto"/>
            <w:vAlign w:val="center"/>
          </w:tcPr>
          <w:p w14:paraId="32D1AB27">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lang w:val="en-US" w:eastAsia="zh-CN"/>
              </w:rPr>
            </w:pPr>
            <w:r>
              <w:rPr>
                <w:rFonts w:hint="default" w:ascii="Times New Roman" w:hAnsi="Times New Roman" w:eastAsia="宋体" w:cs="Times New Roman"/>
                <w:kern w:val="0"/>
                <w:sz w:val="20"/>
                <w:szCs w:val="20"/>
                <w:highlight w:val="none"/>
              </w:rPr>
              <w:t>吨</w:t>
            </w:r>
            <w:r>
              <w:rPr>
                <w:rFonts w:hint="default" w:ascii="Times New Roman" w:hAnsi="Times New Roman" w:eastAsia="宋体" w:cs="Times New Roman"/>
                <w:kern w:val="0"/>
                <w:sz w:val="20"/>
                <w:szCs w:val="20"/>
                <w:highlight w:val="none"/>
                <w:lang w:eastAsia="zh-CN"/>
              </w:rPr>
              <w:t>，</w:t>
            </w:r>
            <w:r>
              <w:rPr>
                <w:rFonts w:hint="default" w:ascii="Times New Roman" w:hAnsi="Times New Roman" w:eastAsia="宋体" w:cs="Times New Roman"/>
                <w:kern w:val="0"/>
                <w:sz w:val="20"/>
                <w:szCs w:val="20"/>
                <w:highlight w:val="none"/>
              </w:rPr>
              <w:t>t</w:t>
            </w:r>
            <w:r>
              <w:rPr>
                <w:rFonts w:hint="default" w:ascii="Times New Roman" w:hAnsi="Times New Roman" w:eastAsia="宋体" w:cs="Times New Roman"/>
                <w:kern w:val="0"/>
                <w:sz w:val="20"/>
                <w:szCs w:val="20"/>
                <w:highlight w:val="none"/>
                <w:lang w:val="en-US" w:eastAsia="zh-CN"/>
              </w:rPr>
              <w:t>DS</w:t>
            </w:r>
          </w:p>
        </w:tc>
        <w:tc>
          <w:tcPr>
            <w:tcW w:w="0" w:type="auto"/>
            <w:shd w:val="clear" w:color="auto" w:fill="auto"/>
            <w:vAlign w:val="center"/>
          </w:tcPr>
          <w:p w14:paraId="18AC1DF5">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sz w:val="20"/>
                <w:szCs w:val="20"/>
                <w:highlight w:val="none"/>
                <w:lang w:val="en-US" w:eastAsia="zh-CN"/>
              </w:rPr>
            </w:pPr>
          </w:p>
        </w:tc>
        <w:tc>
          <w:tcPr>
            <w:tcW w:w="0" w:type="auto"/>
            <w:shd w:val="clear" w:color="auto" w:fill="auto"/>
            <w:vAlign w:val="center"/>
          </w:tcPr>
          <w:p w14:paraId="3D840355">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rPr>
            </w:pPr>
          </w:p>
        </w:tc>
        <w:tc>
          <w:tcPr>
            <w:tcW w:w="0" w:type="auto"/>
            <w:shd w:val="clear" w:color="auto" w:fill="auto"/>
            <w:vAlign w:val="center"/>
          </w:tcPr>
          <w:p w14:paraId="631355A8">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rPr>
            </w:pPr>
          </w:p>
        </w:tc>
      </w:tr>
      <w:tr w14:paraId="7BB812F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8" w:hRule="atLeast"/>
          <w:jc w:val="center"/>
        </w:trPr>
        <w:tc>
          <w:tcPr>
            <w:tcW w:w="0" w:type="auto"/>
            <w:vMerge w:val="continue"/>
            <w:vAlign w:val="center"/>
          </w:tcPr>
          <w:p w14:paraId="3FBB7AD4">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sz w:val="20"/>
                <w:szCs w:val="20"/>
                <w:highlight w:val="none"/>
              </w:rPr>
            </w:pPr>
          </w:p>
        </w:tc>
        <w:tc>
          <w:tcPr>
            <w:tcW w:w="0" w:type="auto"/>
            <w:shd w:val="clear" w:color="auto" w:fill="auto"/>
            <w:vAlign w:val="center"/>
          </w:tcPr>
          <w:p w14:paraId="0B1E802C">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焚烧污泥干重</w:t>
            </w:r>
          </w:p>
        </w:tc>
        <w:tc>
          <w:tcPr>
            <w:tcW w:w="0" w:type="auto"/>
            <w:vAlign w:val="center"/>
          </w:tcPr>
          <w:p w14:paraId="321CA5BF">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lang w:val="en-US" w:eastAsia="zh-CN"/>
              </w:rPr>
            </w:pPr>
            <w:r>
              <w:rPr>
                <w:rFonts w:hint="default" w:ascii="Times New Roman" w:hAnsi="Times New Roman" w:eastAsia="宋体" w:cs="Times New Roman"/>
                <w:kern w:val="0"/>
                <w:sz w:val="20"/>
                <w:szCs w:val="20"/>
                <w:highlight w:val="none"/>
                <w:lang w:val="en-US"/>
              </w:rPr>
              <w:t>吨</w:t>
            </w:r>
            <w:r>
              <w:rPr>
                <w:rFonts w:hint="default" w:ascii="Times New Roman" w:hAnsi="Times New Roman" w:eastAsia="宋体" w:cs="Times New Roman"/>
                <w:kern w:val="0"/>
                <w:sz w:val="20"/>
                <w:szCs w:val="20"/>
                <w:highlight w:val="none"/>
                <w:lang w:val="en-US" w:eastAsia="zh-CN"/>
              </w:rPr>
              <w:t>，</w:t>
            </w:r>
            <w:r>
              <w:rPr>
                <w:rFonts w:hint="default" w:ascii="Times New Roman" w:hAnsi="Times New Roman" w:eastAsia="宋体" w:cs="Times New Roman"/>
                <w:kern w:val="0"/>
                <w:sz w:val="20"/>
                <w:szCs w:val="20"/>
                <w:highlight w:val="none"/>
                <w:lang w:val="en-US"/>
              </w:rPr>
              <w:t>t</w:t>
            </w:r>
            <w:r>
              <w:rPr>
                <w:rFonts w:hint="default" w:ascii="Times New Roman" w:hAnsi="Times New Roman" w:eastAsia="宋体" w:cs="Times New Roman"/>
                <w:kern w:val="0"/>
                <w:sz w:val="20"/>
                <w:szCs w:val="20"/>
                <w:highlight w:val="none"/>
                <w:lang w:val="en-US" w:eastAsia="zh-CN"/>
              </w:rPr>
              <w:t>DS</w:t>
            </w:r>
          </w:p>
        </w:tc>
        <w:tc>
          <w:tcPr>
            <w:tcW w:w="0" w:type="auto"/>
            <w:vAlign w:val="center"/>
          </w:tcPr>
          <w:p w14:paraId="6AFFA7DA">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sz w:val="20"/>
                <w:szCs w:val="20"/>
                <w:highlight w:val="none"/>
                <w:lang w:val="en-US" w:eastAsia="zh-CN"/>
              </w:rPr>
            </w:pPr>
          </w:p>
        </w:tc>
        <w:tc>
          <w:tcPr>
            <w:tcW w:w="0" w:type="auto"/>
            <w:vAlign w:val="center"/>
          </w:tcPr>
          <w:p w14:paraId="569AE536">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lang w:val="en-US"/>
              </w:rPr>
            </w:pPr>
          </w:p>
        </w:tc>
        <w:tc>
          <w:tcPr>
            <w:tcW w:w="0" w:type="auto"/>
            <w:vAlign w:val="center"/>
          </w:tcPr>
          <w:p w14:paraId="4B36E8EA">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lang w:val="en-US" w:eastAsia="zh-CN"/>
              </w:rPr>
            </w:pPr>
            <w:r>
              <w:rPr>
                <w:rFonts w:hint="default" w:ascii="Times New Roman" w:hAnsi="Times New Roman" w:eastAsia="宋体" w:cs="Times New Roman"/>
                <w:kern w:val="0"/>
                <w:sz w:val="20"/>
                <w:szCs w:val="20"/>
                <w:highlight w:val="none"/>
                <w:lang w:val="en-US" w:eastAsia="zh-CN"/>
              </w:rPr>
              <w:t>532.8</w:t>
            </w:r>
          </w:p>
        </w:tc>
      </w:tr>
      <w:tr w14:paraId="7803E0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0" w:type="auto"/>
            <w:vMerge w:val="continue"/>
            <w:vAlign w:val="center"/>
          </w:tcPr>
          <w:p w14:paraId="7B41F199">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sz w:val="20"/>
                <w:szCs w:val="20"/>
                <w:highlight w:val="none"/>
              </w:rPr>
            </w:pPr>
          </w:p>
        </w:tc>
        <w:tc>
          <w:tcPr>
            <w:tcW w:w="0" w:type="auto"/>
            <w:shd w:val="clear" w:color="auto" w:fill="auto"/>
            <w:vAlign w:val="center"/>
          </w:tcPr>
          <w:p w14:paraId="74DA0896">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沼气产量</w:t>
            </w:r>
          </w:p>
        </w:tc>
        <w:tc>
          <w:tcPr>
            <w:tcW w:w="0" w:type="auto"/>
            <w:shd w:val="clear" w:color="auto" w:fill="auto"/>
            <w:vAlign w:val="center"/>
          </w:tcPr>
          <w:p w14:paraId="6D8D5758">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lang w:val="en-US" w:eastAsia="zh-CN"/>
              </w:rPr>
            </w:pPr>
            <w:r>
              <w:rPr>
                <w:rFonts w:hint="default" w:ascii="Times New Roman" w:hAnsi="Times New Roman" w:eastAsia="宋体" w:cs="Times New Roman"/>
                <w:kern w:val="0"/>
                <w:sz w:val="20"/>
                <w:szCs w:val="20"/>
                <w:highlight w:val="none"/>
                <w:lang w:val="en-US" w:eastAsia="zh-CN"/>
              </w:rPr>
              <w:t>立方米，</w:t>
            </w:r>
            <w:r>
              <w:rPr>
                <w:rFonts w:hint="default" w:ascii="Times New Roman" w:hAnsi="Times New Roman" w:eastAsia="宋体" w:cs="Times New Roman"/>
                <w:kern w:val="0"/>
                <w:sz w:val="20"/>
                <w:szCs w:val="20"/>
                <w:highlight w:val="none"/>
              </w:rPr>
              <w:t>m</w:t>
            </w:r>
            <w:r>
              <w:rPr>
                <w:rFonts w:hint="default" w:ascii="Times New Roman" w:hAnsi="Times New Roman" w:eastAsia="宋体" w:cs="Times New Roman"/>
                <w:kern w:val="0"/>
                <w:sz w:val="20"/>
                <w:szCs w:val="20"/>
                <w:highlight w:val="none"/>
                <w:vertAlign w:val="superscript"/>
              </w:rPr>
              <w:t>3</w:t>
            </w:r>
          </w:p>
        </w:tc>
        <w:tc>
          <w:tcPr>
            <w:tcW w:w="0" w:type="auto"/>
            <w:shd w:val="clear" w:color="auto" w:fill="auto"/>
            <w:vAlign w:val="center"/>
          </w:tcPr>
          <w:p w14:paraId="21780D15">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sz w:val="20"/>
                <w:szCs w:val="20"/>
                <w:highlight w:val="none"/>
              </w:rPr>
            </w:pPr>
          </w:p>
        </w:tc>
        <w:tc>
          <w:tcPr>
            <w:tcW w:w="0" w:type="auto"/>
            <w:shd w:val="clear" w:color="auto" w:fill="auto"/>
            <w:vAlign w:val="center"/>
          </w:tcPr>
          <w:p w14:paraId="7C9F9B0C">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lang w:val="en-US" w:eastAsia="zh-CN"/>
              </w:rPr>
            </w:pPr>
          </w:p>
        </w:tc>
        <w:tc>
          <w:tcPr>
            <w:tcW w:w="0" w:type="auto"/>
            <w:shd w:val="clear" w:color="auto" w:fill="auto"/>
            <w:vAlign w:val="center"/>
          </w:tcPr>
          <w:p w14:paraId="6A410E6E">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lang w:val="en-US" w:eastAsia="zh-CN"/>
              </w:rPr>
            </w:pPr>
          </w:p>
        </w:tc>
      </w:tr>
      <w:tr w14:paraId="6E05D7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0" w:type="auto"/>
            <w:vMerge w:val="continue"/>
            <w:vAlign w:val="center"/>
          </w:tcPr>
          <w:p w14:paraId="41217E0C">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sz w:val="20"/>
                <w:szCs w:val="20"/>
                <w:highlight w:val="none"/>
              </w:rPr>
            </w:pPr>
          </w:p>
        </w:tc>
        <w:tc>
          <w:tcPr>
            <w:tcW w:w="0" w:type="auto"/>
            <w:shd w:val="clear" w:color="auto" w:fill="auto"/>
            <w:vAlign w:val="center"/>
          </w:tcPr>
          <w:p w14:paraId="0877808A">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沼气中甲烷比例</w:t>
            </w:r>
          </w:p>
        </w:tc>
        <w:tc>
          <w:tcPr>
            <w:tcW w:w="0" w:type="auto"/>
            <w:vAlign w:val="center"/>
          </w:tcPr>
          <w:p w14:paraId="15C96F4D">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lang w:val="en-US" w:eastAsia="zh-CN"/>
              </w:rPr>
            </w:pPr>
            <w:r>
              <w:rPr>
                <w:rFonts w:hint="default" w:ascii="Times New Roman" w:hAnsi="Times New Roman" w:eastAsia="宋体" w:cs="Times New Roman"/>
                <w:kern w:val="0"/>
                <w:sz w:val="20"/>
                <w:szCs w:val="20"/>
                <w:highlight w:val="none"/>
                <w:lang w:val="en-US" w:eastAsia="zh-CN"/>
              </w:rPr>
              <w:t>百分比，%</w:t>
            </w:r>
          </w:p>
        </w:tc>
        <w:tc>
          <w:tcPr>
            <w:tcW w:w="0" w:type="auto"/>
            <w:vAlign w:val="center"/>
          </w:tcPr>
          <w:p w14:paraId="543467D9">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sz w:val="20"/>
                <w:szCs w:val="20"/>
                <w:highlight w:val="none"/>
              </w:rPr>
            </w:pPr>
          </w:p>
        </w:tc>
        <w:tc>
          <w:tcPr>
            <w:tcW w:w="0" w:type="auto"/>
            <w:vAlign w:val="center"/>
          </w:tcPr>
          <w:p w14:paraId="576AA3F5">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lang w:val="en-US" w:eastAsia="zh-CN"/>
              </w:rPr>
            </w:pPr>
          </w:p>
        </w:tc>
        <w:tc>
          <w:tcPr>
            <w:tcW w:w="0" w:type="auto"/>
            <w:vAlign w:val="center"/>
          </w:tcPr>
          <w:p w14:paraId="15754841">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lang w:val="en-US" w:eastAsia="zh-CN"/>
              </w:rPr>
            </w:pPr>
          </w:p>
        </w:tc>
      </w:tr>
      <w:tr w14:paraId="3A5FF4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0" w:type="auto"/>
            <w:vMerge w:val="continue"/>
            <w:vAlign w:val="center"/>
          </w:tcPr>
          <w:p w14:paraId="4307D1AB">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sz w:val="20"/>
                <w:szCs w:val="20"/>
                <w:highlight w:val="none"/>
              </w:rPr>
            </w:pPr>
          </w:p>
        </w:tc>
        <w:tc>
          <w:tcPr>
            <w:tcW w:w="0" w:type="auto"/>
            <w:shd w:val="clear" w:color="auto" w:fill="auto"/>
            <w:vAlign w:val="center"/>
          </w:tcPr>
          <w:p w14:paraId="0D803C18">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kern w:val="0"/>
                <w:sz w:val="20"/>
                <w:szCs w:val="20"/>
                <w:highlight w:val="none"/>
              </w:rPr>
              <w:t>沼气泄露比例</w:t>
            </w:r>
          </w:p>
        </w:tc>
        <w:tc>
          <w:tcPr>
            <w:tcW w:w="0" w:type="auto"/>
            <w:vAlign w:val="center"/>
          </w:tcPr>
          <w:p w14:paraId="17D3609D">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u w:val="single"/>
                <w:lang w:val="en-US" w:eastAsia="zh-CN"/>
              </w:rPr>
            </w:pPr>
            <w:r>
              <w:rPr>
                <w:rFonts w:hint="default" w:ascii="Times New Roman" w:hAnsi="Times New Roman" w:eastAsia="宋体" w:cs="Times New Roman"/>
                <w:kern w:val="0"/>
                <w:sz w:val="20"/>
                <w:szCs w:val="20"/>
                <w:highlight w:val="none"/>
                <w:lang w:val="en-US" w:eastAsia="zh-CN"/>
              </w:rPr>
              <w:t>百分比，%</w:t>
            </w:r>
          </w:p>
        </w:tc>
        <w:tc>
          <w:tcPr>
            <w:tcW w:w="0" w:type="auto"/>
            <w:vAlign w:val="center"/>
          </w:tcPr>
          <w:p w14:paraId="6616F926">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lang w:val="en-US" w:eastAsia="zh-CN"/>
              </w:rPr>
            </w:pPr>
          </w:p>
        </w:tc>
        <w:tc>
          <w:tcPr>
            <w:tcW w:w="0" w:type="auto"/>
            <w:vAlign w:val="center"/>
          </w:tcPr>
          <w:p w14:paraId="70CAAB32">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lang w:val="en-US" w:eastAsia="zh-CN"/>
              </w:rPr>
            </w:pPr>
          </w:p>
        </w:tc>
        <w:tc>
          <w:tcPr>
            <w:tcW w:w="0" w:type="auto"/>
            <w:vAlign w:val="center"/>
          </w:tcPr>
          <w:p w14:paraId="67CDAAA1">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lang w:val="en-US" w:eastAsia="zh-CN"/>
              </w:rPr>
            </w:pPr>
          </w:p>
        </w:tc>
      </w:tr>
      <w:tr w14:paraId="0A43BC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0" w:type="auto"/>
            <w:vMerge w:val="continue"/>
            <w:vAlign w:val="center"/>
          </w:tcPr>
          <w:p w14:paraId="1DF46441">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sz w:val="20"/>
                <w:szCs w:val="20"/>
                <w:highlight w:val="none"/>
              </w:rPr>
            </w:pPr>
          </w:p>
        </w:tc>
        <w:tc>
          <w:tcPr>
            <w:tcW w:w="0" w:type="auto"/>
            <w:shd w:val="clear" w:color="auto" w:fill="auto"/>
            <w:vAlign w:val="center"/>
          </w:tcPr>
          <w:p w14:paraId="08E2BE32">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rPr>
              <w:t>甲烷回收利用量</w:t>
            </w:r>
          </w:p>
        </w:tc>
        <w:tc>
          <w:tcPr>
            <w:tcW w:w="0" w:type="auto"/>
            <w:vAlign w:val="center"/>
          </w:tcPr>
          <w:p w14:paraId="59F131AD">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lang w:val="en-US" w:eastAsia="zh-CN"/>
              </w:rPr>
            </w:pPr>
            <w:r>
              <w:rPr>
                <w:rFonts w:hint="default" w:ascii="Times New Roman" w:hAnsi="Times New Roman" w:eastAsia="宋体" w:cs="Times New Roman"/>
                <w:kern w:val="0"/>
                <w:sz w:val="20"/>
                <w:szCs w:val="20"/>
                <w:highlight w:val="none"/>
              </w:rPr>
              <w:t>吨</w:t>
            </w:r>
            <w:r>
              <w:rPr>
                <w:rFonts w:hint="default" w:ascii="Times New Roman" w:hAnsi="Times New Roman" w:eastAsia="宋体" w:cs="Times New Roman"/>
                <w:kern w:val="0"/>
                <w:sz w:val="20"/>
                <w:szCs w:val="20"/>
                <w:highlight w:val="none"/>
                <w:lang w:eastAsia="zh-CN"/>
              </w:rPr>
              <w:t>，</w:t>
            </w:r>
            <w:r>
              <w:rPr>
                <w:rFonts w:hint="default" w:ascii="Times New Roman" w:hAnsi="Times New Roman" w:eastAsia="宋体" w:cs="Times New Roman"/>
                <w:kern w:val="0"/>
                <w:sz w:val="20"/>
                <w:szCs w:val="20"/>
                <w:highlight w:val="none"/>
              </w:rPr>
              <w:t>t</w:t>
            </w:r>
          </w:p>
        </w:tc>
        <w:tc>
          <w:tcPr>
            <w:tcW w:w="0" w:type="auto"/>
            <w:vAlign w:val="center"/>
          </w:tcPr>
          <w:p w14:paraId="7B9CB563">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sz w:val="20"/>
                <w:szCs w:val="20"/>
                <w:highlight w:val="none"/>
              </w:rPr>
            </w:pPr>
          </w:p>
        </w:tc>
        <w:tc>
          <w:tcPr>
            <w:tcW w:w="0" w:type="auto"/>
            <w:vAlign w:val="center"/>
          </w:tcPr>
          <w:p w14:paraId="61B20B1E">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rPr>
            </w:pPr>
          </w:p>
        </w:tc>
        <w:tc>
          <w:tcPr>
            <w:tcW w:w="0" w:type="auto"/>
            <w:vAlign w:val="center"/>
          </w:tcPr>
          <w:p w14:paraId="0280E4F9">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rPr>
            </w:pPr>
          </w:p>
        </w:tc>
      </w:tr>
      <w:tr w14:paraId="5B59F5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4" w:hRule="atLeast"/>
          <w:jc w:val="center"/>
        </w:trPr>
        <w:tc>
          <w:tcPr>
            <w:tcW w:w="0" w:type="auto"/>
            <w:gridSpan w:val="2"/>
            <w:vAlign w:val="center"/>
          </w:tcPr>
          <w:p w14:paraId="0549D886">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default" w:ascii="Times New Roman" w:hAnsi="Times New Roman" w:eastAsia="宋体" w:cs="Times New Roman"/>
                <w:color w:val="000000"/>
                <w:sz w:val="20"/>
                <w:szCs w:val="20"/>
                <w:highlight w:val="none"/>
                <w:lang w:val="en-US" w:eastAsia="zh-CN"/>
              </w:rPr>
            </w:pPr>
            <w:r>
              <w:rPr>
                <w:rFonts w:hint="default" w:ascii="Times New Roman" w:hAnsi="Times New Roman" w:eastAsia="宋体" w:cs="Times New Roman"/>
                <w:color w:val="000000"/>
                <w:sz w:val="20"/>
                <w:szCs w:val="20"/>
                <w:highlight w:val="none"/>
                <w:lang w:val="en-US" w:eastAsia="zh-CN"/>
              </w:rPr>
              <w:t>购入电力</w:t>
            </w:r>
          </w:p>
        </w:tc>
        <w:tc>
          <w:tcPr>
            <w:tcW w:w="0" w:type="auto"/>
            <w:vAlign w:val="center"/>
          </w:tcPr>
          <w:p w14:paraId="1B431C9D">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lang w:val="en-US" w:eastAsia="zh-CN"/>
              </w:rPr>
            </w:pPr>
            <w:r>
              <w:rPr>
                <w:rFonts w:hint="default" w:ascii="Times New Roman" w:hAnsi="Times New Roman" w:eastAsia="宋体" w:cs="Times New Roman"/>
                <w:kern w:val="0"/>
                <w:sz w:val="20"/>
                <w:szCs w:val="20"/>
                <w:highlight w:val="none"/>
                <w:lang w:val="en-US" w:eastAsia="zh-CN"/>
              </w:rPr>
              <w:t>Mwh</w:t>
            </w:r>
          </w:p>
        </w:tc>
        <w:tc>
          <w:tcPr>
            <w:tcW w:w="0" w:type="auto"/>
            <w:vAlign w:val="top"/>
          </w:tcPr>
          <w:p w14:paraId="09CEE150">
            <w:pPr>
              <w:keepNext w:val="0"/>
              <w:keepLines w:val="0"/>
              <w:pageBreakBefore w:val="0"/>
              <w:widowControl/>
              <w:suppressLineNumbers w:val="0"/>
              <w:kinsoku/>
              <w:wordWrap/>
              <w:overflowPunct/>
              <w:topLinePunct w:val="0"/>
              <w:autoSpaceDE/>
              <w:autoSpaceDN/>
              <w:bidi w:val="0"/>
              <w:adjustRightInd/>
              <w:snapToGrid/>
              <w:spacing w:before="62" w:beforeLines="20" w:after="62" w:afterLines="20" w:line="240" w:lineRule="auto"/>
              <w:ind w:left="0" w:right="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kern w:val="0"/>
                <w:sz w:val="20"/>
                <w:szCs w:val="20"/>
              </w:rPr>
              <w:t>2043</w:t>
            </w:r>
          </w:p>
        </w:tc>
        <w:tc>
          <w:tcPr>
            <w:tcW w:w="0" w:type="auto"/>
            <w:vAlign w:val="center"/>
          </w:tcPr>
          <w:p w14:paraId="3F935765">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rPr>
            </w:pPr>
            <w:r>
              <w:rPr>
                <w:rFonts w:hint="default" w:ascii="Times New Roman" w:hAnsi="Times New Roman" w:eastAsia="宋体" w:cs="Times New Roman"/>
                <w:i w:val="0"/>
                <w:iCs w:val="0"/>
                <w:caps w:val="0"/>
                <w:color w:val="606266"/>
                <w:spacing w:val="0"/>
                <w:sz w:val="20"/>
                <w:szCs w:val="20"/>
                <w:shd w:val="clear" w:fill="FFFFFF"/>
              </w:rPr>
              <w:t>3842</w:t>
            </w:r>
          </w:p>
        </w:tc>
        <w:tc>
          <w:tcPr>
            <w:tcW w:w="0" w:type="auto"/>
            <w:vAlign w:val="center"/>
          </w:tcPr>
          <w:p w14:paraId="75A3FD28">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lang w:val="en-US" w:eastAsia="zh-CN"/>
              </w:rPr>
            </w:pPr>
            <w:r>
              <w:rPr>
                <w:rFonts w:hint="default" w:ascii="Times New Roman" w:hAnsi="Times New Roman" w:eastAsia="宋体" w:cs="Times New Roman"/>
                <w:kern w:val="0"/>
                <w:sz w:val="20"/>
                <w:szCs w:val="20"/>
                <w:highlight w:val="none"/>
                <w:lang w:val="en-US" w:eastAsia="zh-CN"/>
              </w:rPr>
              <w:t>507.5</w:t>
            </w:r>
          </w:p>
        </w:tc>
      </w:tr>
      <w:tr w14:paraId="7B5982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7" w:hRule="atLeast"/>
          <w:jc w:val="center"/>
        </w:trPr>
        <w:tc>
          <w:tcPr>
            <w:tcW w:w="0" w:type="auto"/>
            <w:gridSpan w:val="2"/>
            <w:vAlign w:val="center"/>
          </w:tcPr>
          <w:p w14:paraId="0204F50D">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lang w:val="en-US" w:eastAsia="zh-CN"/>
              </w:rPr>
              <w:t>输出电力</w:t>
            </w:r>
          </w:p>
        </w:tc>
        <w:tc>
          <w:tcPr>
            <w:tcW w:w="0" w:type="auto"/>
            <w:vAlign w:val="center"/>
          </w:tcPr>
          <w:p w14:paraId="5580225E">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rPr>
            </w:pPr>
            <w:r>
              <w:rPr>
                <w:rFonts w:hint="default" w:ascii="Times New Roman" w:hAnsi="Times New Roman" w:eastAsia="宋体" w:cs="Times New Roman"/>
                <w:kern w:val="0"/>
                <w:sz w:val="20"/>
                <w:szCs w:val="20"/>
                <w:highlight w:val="none"/>
                <w:lang w:val="en-US" w:eastAsia="zh-CN"/>
              </w:rPr>
              <w:t>Mwh</w:t>
            </w:r>
          </w:p>
        </w:tc>
        <w:tc>
          <w:tcPr>
            <w:tcW w:w="0" w:type="auto"/>
            <w:vAlign w:val="top"/>
          </w:tcPr>
          <w:p w14:paraId="464DC6E1">
            <w:pPr>
              <w:keepNext w:val="0"/>
              <w:keepLines w:val="0"/>
              <w:pageBreakBefore w:val="0"/>
              <w:widowControl/>
              <w:suppressLineNumbers w:val="0"/>
              <w:kinsoku/>
              <w:wordWrap/>
              <w:overflowPunct/>
              <w:topLinePunct w:val="0"/>
              <w:autoSpaceDE/>
              <w:autoSpaceDN/>
              <w:bidi w:val="0"/>
              <w:adjustRightInd/>
              <w:snapToGrid/>
              <w:spacing w:before="62" w:beforeLines="20" w:after="62" w:afterLines="20" w:line="240" w:lineRule="auto"/>
              <w:ind w:left="0" w:right="0" w:firstLine="0" w:firstLineChars="0"/>
              <w:jc w:val="center"/>
              <w:textAlignment w:val="auto"/>
              <w:rPr>
                <w:rFonts w:hint="default" w:ascii="Times New Roman" w:hAnsi="Times New Roman" w:eastAsia="宋体" w:cs="Times New Roman"/>
                <w:color w:val="000000"/>
                <w:sz w:val="20"/>
                <w:szCs w:val="20"/>
                <w:highlight w:val="none"/>
                <w:lang w:val="en-US" w:eastAsia="zh-CN"/>
              </w:rPr>
            </w:pPr>
            <w:r>
              <w:rPr>
                <w:rFonts w:hint="default" w:ascii="Times New Roman" w:hAnsi="Times New Roman" w:eastAsia="宋体" w:cs="Times New Roman"/>
                <w:color w:val="000000"/>
                <w:kern w:val="0"/>
                <w:sz w:val="20"/>
                <w:szCs w:val="20"/>
              </w:rPr>
              <w:t>496.701</w:t>
            </w:r>
          </w:p>
        </w:tc>
        <w:tc>
          <w:tcPr>
            <w:tcW w:w="0" w:type="auto"/>
            <w:vAlign w:val="center"/>
          </w:tcPr>
          <w:p w14:paraId="2D19BB3A">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rPr>
            </w:pPr>
            <w:r>
              <w:rPr>
                <w:rFonts w:hint="default" w:ascii="Times New Roman" w:hAnsi="Times New Roman" w:eastAsia="宋体" w:cs="Times New Roman"/>
                <w:color w:val="000000"/>
                <w:sz w:val="20"/>
                <w:szCs w:val="20"/>
                <w:highlight w:val="none"/>
                <w:lang w:val="en-US" w:eastAsia="zh-CN"/>
              </w:rPr>
              <w:t>0</w:t>
            </w:r>
          </w:p>
        </w:tc>
        <w:tc>
          <w:tcPr>
            <w:tcW w:w="0" w:type="auto"/>
            <w:vAlign w:val="center"/>
          </w:tcPr>
          <w:p w14:paraId="19BD9ED6">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rPr>
            </w:pPr>
          </w:p>
        </w:tc>
      </w:tr>
      <w:tr w14:paraId="3E91EB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0" w:type="auto"/>
            <w:gridSpan w:val="2"/>
            <w:vAlign w:val="center"/>
          </w:tcPr>
          <w:p w14:paraId="48D5CFA2">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default" w:ascii="Times New Roman" w:hAnsi="Times New Roman" w:eastAsia="宋体" w:cs="Times New Roman"/>
                <w:color w:val="000000"/>
                <w:sz w:val="20"/>
                <w:szCs w:val="20"/>
                <w:highlight w:val="none"/>
                <w:lang w:val="en-US" w:eastAsia="zh-CN"/>
              </w:rPr>
            </w:pPr>
            <w:r>
              <w:rPr>
                <w:rFonts w:hint="default" w:ascii="Times New Roman" w:hAnsi="Times New Roman" w:eastAsia="宋体" w:cs="Times New Roman"/>
                <w:color w:val="000000"/>
                <w:sz w:val="20"/>
                <w:szCs w:val="20"/>
                <w:highlight w:val="none"/>
                <w:lang w:val="en-US" w:eastAsia="zh-CN"/>
              </w:rPr>
              <w:t>电网排放因子</w:t>
            </w:r>
          </w:p>
        </w:tc>
        <w:tc>
          <w:tcPr>
            <w:tcW w:w="0" w:type="auto"/>
            <w:shd w:val="clear" w:color="auto" w:fill="auto"/>
            <w:vAlign w:val="center"/>
          </w:tcPr>
          <w:p w14:paraId="57394C1B">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color w:val="000000"/>
                <w:kern w:val="2"/>
                <w:sz w:val="20"/>
                <w:szCs w:val="20"/>
                <w:highlight w:val="none"/>
                <w:lang w:val="en-US" w:eastAsia="zh-CN" w:bidi="ar-SA"/>
              </w:rPr>
            </w:pPr>
            <w:r>
              <w:rPr>
                <w:rFonts w:hint="default" w:ascii="Times New Roman" w:hAnsi="Times New Roman" w:eastAsia="宋体" w:cs="Times New Roman"/>
                <w:b w:val="0"/>
                <w:bCs/>
                <w:sz w:val="20"/>
                <w:szCs w:val="20"/>
                <w:highlight w:val="none"/>
              </w:rPr>
              <w:t>tCO</w:t>
            </w:r>
            <w:r>
              <w:rPr>
                <w:rFonts w:hint="default" w:ascii="Times New Roman" w:hAnsi="Times New Roman" w:eastAsia="宋体" w:cs="Times New Roman"/>
                <w:b w:val="0"/>
                <w:bCs/>
                <w:sz w:val="20"/>
                <w:szCs w:val="20"/>
                <w:highlight w:val="none"/>
                <w:vertAlign w:val="subscript"/>
              </w:rPr>
              <w:t>2</w:t>
            </w:r>
            <w:r>
              <w:rPr>
                <w:rFonts w:hint="default" w:ascii="Times New Roman" w:hAnsi="Times New Roman" w:eastAsia="宋体" w:cs="Times New Roman"/>
                <w:b w:val="0"/>
                <w:bCs/>
                <w:sz w:val="20"/>
                <w:szCs w:val="20"/>
                <w:highlight w:val="none"/>
              </w:rPr>
              <w:t>/MWh</w:t>
            </w:r>
          </w:p>
        </w:tc>
        <w:tc>
          <w:tcPr>
            <w:tcW w:w="0" w:type="auto"/>
            <w:vAlign w:val="center"/>
          </w:tcPr>
          <w:p w14:paraId="6E5F9003">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sz w:val="20"/>
                <w:szCs w:val="20"/>
                <w:highlight w:val="none"/>
                <w:lang w:val="en-US" w:eastAsia="zh-CN"/>
              </w:rPr>
            </w:pPr>
            <w:r>
              <w:rPr>
                <w:rFonts w:hint="default" w:ascii="Times New Roman" w:hAnsi="Times New Roman" w:eastAsia="宋体" w:cs="Times New Roman"/>
                <w:color w:val="000000"/>
                <w:sz w:val="20"/>
                <w:szCs w:val="20"/>
                <w:highlight w:val="none"/>
                <w:lang w:val="en-US" w:eastAsia="zh-CN"/>
              </w:rPr>
              <w:t>0.5395</w:t>
            </w:r>
          </w:p>
        </w:tc>
        <w:tc>
          <w:tcPr>
            <w:tcW w:w="0" w:type="auto"/>
            <w:vAlign w:val="center"/>
          </w:tcPr>
          <w:p w14:paraId="64034795">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rPr>
            </w:pPr>
            <w:r>
              <w:rPr>
                <w:rFonts w:hint="default" w:ascii="Times New Roman" w:hAnsi="Times New Roman" w:eastAsia="宋体" w:cs="Times New Roman"/>
                <w:color w:val="000000"/>
                <w:sz w:val="20"/>
                <w:szCs w:val="20"/>
                <w:highlight w:val="none"/>
                <w:lang w:val="en-US" w:eastAsia="zh-CN"/>
              </w:rPr>
              <w:t>0.2268</w:t>
            </w:r>
          </w:p>
        </w:tc>
        <w:tc>
          <w:tcPr>
            <w:tcW w:w="0" w:type="auto"/>
            <w:vAlign w:val="center"/>
          </w:tcPr>
          <w:p w14:paraId="7025A76D">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lang w:val="en-US" w:eastAsia="zh-CN"/>
              </w:rPr>
            </w:pPr>
            <w:r>
              <w:rPr>
                <w:rFonts w:hint="default" w:ascii="Times New Roman" w:hAnsi="Times New Roman" w:eastAsia="宋体" w:cs="Times New Roman"/>
                <w:kern w:val="0"/>
                <w:sz w:val="20"/>
                <w:szCs w:val="20"/>
                <w:highlight w:val="none"/>
                <w:lang w:val="en-US" w:eastAsia="zh-CN"/>
              </w:rPr>
              <w:t>0.5617</w:t>
            </w:r>
          </w:p>
        </w:tc>
      </w:tr>
      <w:tr w14:paraId="4CF81D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0" w:type="auto"/>
            <w:gridSpan w:val="2"/>
            <w:shd w:val="clear" w:color="auto" w:fill="auto"/>
            <w:vAlign w:val="center"/>
          </w:tcPr>
          <w:p w14:paraId="1003F312">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both"/>
              <w:textAlignment w:val="auto"/>
              <w:rPr>
                <w:rFonts w:hint="default" w:ascii="Times New Roman" w:hAnsi="Times New Roman" w:eastAsia="宋体" w:cs="Times New Roman"/>
                <w:color w:val="000000"/>
                <w:kern w:val="2"/>
                <w:sz w:val="20"/>
                <w:szCs w:val="20"/>
                <w:highlight w:val="none"/>
                <w:lang w:val="en-US" w:eastAsia="zh-CN" w:bidi="ar-SA"/>
              </w:rPr>
            </w:pPr>
            <w:r>
              <w:rPr>
                <w:rFonts w:hint="default" w:ascii="Times New Roman" w:hAnsi="Times New Roman" w:eastAsia="宋体" w:cs="Times New Roman"/>
                <w:color w:val="000000"/>
                <w:sz w:val="20"/>
                <w:szCs w:val="20"/>
                <w:highlight w:val="none"/>
                <w:lang w:val="en-US" w:eastAsia="zh-CN"/>
              </w:rPr>
              <w:t>购入热量</w:t>
            </w:r>
          </w:p>
        </w:tc>
        <w:tc>
          <w:tcPr>
            <w:tcW w:w="0" w:type="auto"/>
            <w:vAlign w:val="center"/>
          </w:tcPr>
          <w:p w14:paraId="065DF176">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lang w:val="en-US" w:eastAsia="zh-CN"/>
              </w:rPr>
            </w:pPr>
            <w:r>
              <w:rPr>
                <w:rFonts w:hint="default" w:ascii="Times New Roman" w:hAnsi="Times New Roman" w:eastAsia="宋体" w:cs="Times New Roman"/>
                <w:kern w:val="0"/>
                <w:sz w:val="20"/>
                <w:szCs w:val="20"/>
                <w:highlight w:val="none"/>
                <w:lang w:val="en-US" w:eastAsia="zh-CN"/>
              </w:rPr>
              <w:t>GJ</w:t>
            </w:r>
          </w:p>
        </w:tc>
        <w:tc>
          <w:tcPr>
            <w:tcW w:w="0" w:type="auto"/>
            <w:vAlign w:val="center"/>
          </w:tcPr>
          <w:p w14:paraId="788E5CAA">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sz w:val="20"/>
                <w:szCs w:val="20"/>
                <w:highlight w:val="none"/>
                <w:lang w:val="en-US" w:eastAsia="zh-CN"/>
              </w:rPr>
            </w:pPr>
          </w:p>
        </w:tc>
        <w:tc>
          <w:tcPr>
            <w:tcW w:w="0" w:type="auto"/>
            <w:vAlign w:val="center"/>
          </w:tcPr>
          <w:p w14:paraId="3B2C5DA0">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rPr>
            </w:pPr>
            <w:r>
              <w:rPr>
                <w:rFonts w:hint="default" w:ascii="Times New Roman" w:hAnsi="Times New Roman" w:eastAsia="宋体" w:cs="Times New Roman"/>
                <w:color w:val="000000"/>
                <w:sz w:val="20"/>
                <w:szCs w:val="20"/>
                <w:highlight w:val="none"/>
                <w:lang w:val="en-US" w:eastAsia="zh-CN"/>
              </w:rPr>
              <w:t>0</w:t>
            </w:r>
          </w:p>
        </w:tc>
        <w:tc>
          <w:tcPr>
            <w:tcW w:w="0" w:type="auto"/>
            <w:vAlign w:val="center"/>
          </w:tcPr>
          <w:p w14:paraId="7261C9A5">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rPr>
            </w:pPr>
          </w:p>
        </w:tc>
      </w:tr>
      <w:tr w14:paraId="593883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0" w:type="auto"/>
            <w:gridSpan w:val="2"/>
            <w:shd w:val="clear" w:color="auto" w:fill="auto"/>
            <w:vAlign w:val="center"/>
          </w:tcPr>
          <w:p w14:paraId="0B4C0165">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default" w:ascii="Times New Roman" w:hAnsi="Times New Roman" w:eastAsia="宋体" w:cs="Times New Roman"/>
                <w:color w:val="000000"/>
                <w:sz w:val="20"/>
                <w:szCs w:val="20"/>
                <w:highlight w:val="none"/>
                <w:lang w:val="en-US" w:eastAsia="zh-CN"/>
              </w:rPr>
            </w:pPr>
            <w:r>
              <w:rPr>
                <w:rFonts w:hint="default" w:ascii="Times New Roman" w:hAnsi="Times New Roman" w:eastAsia="宋体" w:cs="Times New Roman"/>
                <w:color w:val="000000"/>
                <w:sz w:val="20"/>
                <w:szCs w:val="20"/>
                <w:highlight w:val="none"/>
                <w:lang w:val="en-US" w:eastAsia="zh-CN"/>
              </w:rPr>
              <w:t>输出热量</w:t>
            </w:r>
          </w:p>
        </w:tc>
        <w:tc>
          <w:tcPr>
            <w:tcW w:w="0" w:type="auto"/>
            <w:vAlign w:val="center"/>
          </w:tcPr>
          <w:p w14:paraId="5949846E">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lang w:val="en-US" w:eastAsia="zh-CN"/>
              </w:rPr>
            </w:pPr>
            <w:r>
              <w:rPr>
                <w:rFonts w:hint="default" w:ascii="Times New Roman" w:hAnsi="Times New Roman" w:eastAsia="宋体" w:cs="Times New Roman"/>
                <w:kern w:val="0"/>
                <w:sz w:val="20"/>
                <w:szCs w:val="20"/>
                <w:highlight w:val="none"/>
                <w:lang w:val="en-US" w:eastAsia="zh-CN"/>
              </w:rPr>
              <w:t>GJ</w:t>
            </w:r>
          </w:p>
        </w:tc>
        <w:tc>
          <w:tcPr>
            <w:tcW w:w="0" w:type="auto"/>
            <w:vAlign w:val="center"/>
          </w:tcPr>
          <w:p w14:paraId="0A5D46A1">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sz w:val="20"/>
                <w:szCs w:val="20"/>
                <w:highlight w:val="none"/>
                <w:lang w:val="en-US" w:eastAsia="zh-CN"/>
              </w:rPr>
            </w:pPr>
          </w:p>
        </w:tc>
        <w:tc>
          <w:tcPr>
            <w:tcW w:w="0" w:type="auto"/>
            <w:vAlign w:val="center"/>
          </w:tcPr>
          <w:p w14:paraId="3562BD86">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rPr>
            </w:pPr>
            <w:r>
              <w:rPr>
                <w:rFonts w:hint="default" w:ascii="Times New Roman" w:hAnsi="Times New Roman" w:eastAsia="宋体" w:cs="Times New Roman"/>
                <w:color w:val="000000"/>
                <w:sz w:val="20"/>
                <w:szCs w:val="20"/>
                <w:highlight w:val="none"/>
                <w:lang w:val="en-US" w:eastAsia="zh-CN"/>
              </w:rPr>
              <w:t>0</w:t>
            </w:r>
          </w:p>
        </w:tc>
        <w:tc>
          <w:tcPr>
            <w:tcW w:w="0" w:type="auto"/>
            <w:vAlign w:val="center"/>
          </w:tcPr>
          <w:p w14:paraId="55A8E5BB">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rPr>
            </w:pPr>
          </w:p>
        </w:tc>
      </w:tr>
      <w:tr w14:paraId="375E7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0" w:type="auto"/>
            <w:gridSpan w:val="2"/>
            <w:shd w:val="clear" w:color="auto" w:fill="auto"/>
            <w:vAlign w:val="center"/>
          </w:tcPr>
          <w:p w14:paraId="1C22B21D">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left"/>
              <w:textAlignment w:val="auto"/>
              <w:rPr>
                <w:rFonts w:hint="default" w:ascii="Times New Roman" w:hAnsi="Times New Roman" w:eastAsia="宋体" w:cs="Times New Roman"/>
                <w:color w:val="000000"/>
                <w:sz w:val="20"/>
                <w:szCs w:val="20"/>
                <w:highlight w:val="none"/>
                <w:lang w:val="en-US" w:eastAsia="zh-CN"/>
              </w:rPr>
            </w:pPr>
            <w:r>
              <w:rPr>
                <w:rFonts w:hint="default" w:ascii="Times New Roman" w:hAnsi="Times New Roman" w:eastAsia="宋体" w:cs="Times New Roman"/>
                <w:color w:val="000000"/>
                <w:sz w:val="20"/>
                <w:szCs w:val="20"/>
                <w:highlight w:val="none"/>
                <w:lang w:val="en-US" w:eastAsia="zh-CN"/>
              </w:rPr>
              <w:t>药剂使用</w:t>
            </w:r>
            <w:r>
              <w:rPr>
                <w:rFonts w:hint="default" w:ascii="Times New Roman" w:hAnsi="Times New Roman" w:eastAsia="宋体" w:cs="Times New Roman"/>
                <w:color w:val="000000"/>
                <w:sz w:val="20"/>
                <w:szCs w:val="20"/>
                <w:highlight w:val="none"/>
                <w:vertAlign w:val="superscript"/>
                <w:lang w:val="en-US" w:eastAsia="zh-CN"/>
              </w:rPr>
              <w:t>1</w:t>
            </w:r>
          </w:p>
        </w:tc>
        <w:tc>
          <w:tcPr>
            <w:tcW w:w="0" w:type="auto"/>
            <w:vAlign w:val="center"/>
          </w:tcPr>
          <w:p w14:paraId="03278F18">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lang w:val="en-US" w:eastAsia="zh-CN"/>
              </w:rPr>
            </w:pPr>
            <w:r>
              <w:rPr>
                <w:rFonts w:hint="default" w:ascii="Times New Roman" w:hAnsi="Times New Roman" w:eastAsia="宋体" w:cs="Times New Roman"/>
                <w:kern w:val="0"/>
                <w:sz w:val="20"/>
                <w:szCs w:val="20"/>
                <w:highlight w:val="none"/>
                <w:lang w:val="en-US" w:eastAsia="zh-CN"/>
              </w:rPr>
              <w:t>t</w:t>
            </w:r>
          </w:p>
        </w:tc>
        <w:tc>
          <w:tcPr>
            <w:tcW w:w="0" w:type="auto"/>
            <w:vAlign w:val="top"/>
          </w:tcPr>
          <w:p w14:paraId="318AD7D1">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sz w:val="20"/>
                <w:szCs w:val="20"/>
                <w:highlight w:val="none"/>
                <w:lang w:val="en-US" w:eastAsia="zh-CN"/>
              </w:rPr>
            </w:pPr>
            <w:r>
              <w:rPr>
                <w:rFonts w:hint="default" w:ascii="Times New Roman" w:hAnsi="Times New Roman" w:eastAsia="宋体" w:cs="Times New Roman"/>
                <w:kern w:val="0"/>
                <w:sz w:val="20"/>
                <w:szCs w:val="20"/>
                <w:lang w:val="en-US" w:eastAsia="zh-CN"/>
              </w:rPr>
              <w:t>605.9</w:t>
            </w:r>
          </w:p>
        </w:tc>
        <w:tc>
          <w:tcPr>
            <w:tcW w:w="0" w:type="auto"/>
            <w:vAlign w:val="top"/>
          </w:tcPr>
          <w:p w14:paraId="15C0A9A6">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sz w:val="20"/>
                <w:szCs w:val="20"/>
                <w:highlight w:val="none"/>
                <w:lang w:val="en-US" w:eastAsia="zh-CN"/>
              </w:rPr>
            </w:pPr>
            <w:r>
              <w:rPr>
                <w:rFonts w:hint="default" w:ascii="Times New Roman" w:hAnsi="Times New Roman" w:eastAsia="宋体" w:cs="Times New Roman"/>
                <w:kern w:val="0"/>
                <w:sz w:val="20"/>
                <w:szCs w:val="20"/>
                <w:lang w:val="en-US" w:eastAsia="zh-CN"/>
              </w:rPr>
              <w:t>1157.1</w:t>
            </w:r>
          </w:p>
        </w:tc>
        <w:tc>
          <w:tcPr>
            <w:tcW w:w="0" w:type="auto"/>
            <w:vAlign w:val="center"/>
          </w:tcPr>
          <w:p w14:paraId="7B5EC457">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rPr>
            </w:pPr>
          </w:p>
        </w:tc>
      </w:tr>
      <w:tr w14:paraId="080EC2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0" w:type="auto"/>
            <w:vMerge w:val="restart"/>
            <w:vAlign w:val="center"/>
          </w:tcPr>
          <w:p w14:paraId="227A8003">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sz w:val="20"/>
                <w:szCs w:val="20"/>
                <w:highlight w:val="none"/>
                <w:lang w:val="en-US" w:eastAsia="zh-CN"/>
              </w:rPr>
            </w:pPr>
            <w:r>
              <w:rPr>
                <w:rFonts w:hint="default" w:ascii="Times New Roman" w:hAnsi="Times New Roman" w:eastAsia="宋体" w:cs="Times New Roman"/>
                <w:color w:val="000000"/>
                <w:sz w:val="20"/>
                <w:szCs w:val="20"/>
                <w:highlight w:val="none"/>
                <w:lang w:val="en-US" w:eastAsia="zh-CN"/>
              </w:rPr>
              <w:t>燃料使用</w:t>
            </w:r>
          </w:p>
        </w:tc>
        <w:tc>
          <w:tcPr>
            <w:tcW w:w="0" w:type="auto"/>
            <w:shd w:val="clear" w:color="auto" w:fill="auto"/>
            <w:vAlign w:val="center"/>
          </w:tcPr>
          <w:p w14:paraId="3A7E1B1C">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sz w:val="20"/>
                <w:szCs w:val="20"/>
                <w:highlight w:val="none"/>
                <w:lang w:val="en-US" w:eastAsia="zh-CN"/>
              </w:rPr>
            </w:pPr>
            <w:r>
              <w:rPr>
                <w:rFonts w:hint="default" w:ascii="Times New Roman" w:hAnsi="Times New Roman" w:eastAsia="宋体" w:cs="Times New Roman"/>
                <w:color w:val="000000"/>
                <w:sz w:val="20"/>
                <w:szCs w:val="20"/>
                <w:highlight w:val="none"/>
                <w:lang w:val="en-US" w:eastAsia="zh-CN"/>
              </w:rPr>
              <w:t>燃料1</w:t>
            </w:r>
          </w:p>
        </w:tc>
        <w:tc>
          <w:tcPr>
            <w:tcW w:w="0" w:type="auto"/>
            <w:vAlign w:val="center"/>
          </w:tcPr>
          <w:p w14:paraId="1A13B987">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kern w:val="0"/>
                <w:sz w:val="20"/>
                <w:szCs w:val="20"/>
                <w:highlight w:val="none"/>
              </w:rPr>
            </w:pPr>
            <w:r>
              <w:rPr>
                <w:rFonts w:hint="default" w:ascii="Times New Roman" w:hAnsi="Times New Roman" w:eastAsia="宋体" w:cs="Times New Roman"/>
                <w:b w:val="0"/>
                <w:bCs/>
                <w:color w:val="000000"/>
                <w:kern w:val="0"/>
                <w:sz w:val="20"/>
                <w:szCs w:val="20"/>
                <w:highlight w:val="none"/>
              </w:rPr>
              <w:t>t或10</w:t>
            </w:r>
            <w:r>
              <w:rPr>
                <w:rFonts w:hint="default" w:ascii="Times New Roman" w:hAnsi="Times New Roman" w:eastAsia="宋体" w:cs="Times New Roman"/>
                <w:b w:val="0"/>
                <w:bCs/>
                <w:color w:val="000000"/>
                <w:kern w:val="0"/>
                <w:sz w:val="20"/>
                <w:szCs w:val="20"/>
                <w:highlight w:val="none"/>
                <w:vertAlign w:val="superscript"/>
              </w:rPr>
              <w:t>4</w:t>
            </w:r>
            <w:r>
              <w:rPr>
                <w:rFonts w:hint="default" w:ascii="Times New Roman" w:hAnsi="Times New Roman" w:eastAsia="宋体" w:cs="Times New Roman"/>
                <w:b w:val="0"/>
                <w:bCs/>
                <w:color w:val="000000"/>
                <w:kern w:val="0"/>
                <w:sz w:val="20"/>
                <w:szCs w:val="20"/>
                <w:highlight w:val="none"/>
              </w:rPr>
              <w:t>m</w:t>
            </w:r>
            <w:r>
              <w:rPr>
                <w:rFonts w:hint="default" w:ascii="Times New Roman" w:hAnsi="Times New Roman" w:eastAsia="宋体" w:cs="Times New Roman"/>
                <w:b w:val="0"/>
                <w:bCs/>
                <w:color w:val="000000"/>
                <w:kern w:val="0"/>
                <w:sz w:val="20"/>
                <w:szCs w:val="20"/>
                <w:highlight w:val="none"/>
                <w:vertAlign w:val="superscript"/>
              </w:rPr>
              <w:t>3</w:t>
            </w:r>
          </w:p>
        </w:tc>
        <w:tc>
          <w:tcPr>
            <w:tcW w:w="0" w:type="auto"/>
            <w:vAlign w:val="center"/>
          </w:tcPr>
          <w:p w14:paraId="7CF2E5A0">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sz w:val="20"/>
                <w:szCs w:val="20"/>
                <w:highlight w:val="none"/>
              </w:rPr>
            </w:pPr>
          </w:p>
        </w:tc>
        <w:tc>
          <w:tcPr>
            <w:tcW w:w="0" w:type="auto"/>
            <w:vAlign w:val="center"/>
          </w:tcPr>
          <w:p w14:paraId="62E401EB">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rPr>
            </w:pPr>
          </w:p>
        </w:tc>
        <w:tc>
          <w:tcPr>
            <w:tcW w:w="0" w:type="auto"/>
            <w:vAlign w:val="center"/>
          </w:tcPr>
          <w:p w14:paraId="009846E8">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rPr>
            </w:pPr>
          </w:p>
        </w:tc>
      </w:tr>
      <w:tr w14:paraId="4F5B5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0" w:type="auto"/>
            <w:vMerge w:val="continue"/>
            <w:vAlign w:val="center"/>
          </w:tcPr>
          <w:p w14:paraId="77B7B48A">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sz w:val="20"/>
                <w:szCs w:val="20"/>
                <w:highlight w:val="none"/>
              </w:rPr>
            </w:pPr>
          </w:p>
        </w:tc>
        <w:tc>
          <w:tcPr>
            <w:tcW w:w="0" w:type="auto"/>
            <w:shd w:val="clear" w:color="auto" w:fill="auto"/>
            <w:vAlign w:val="center"/>
          </w:tcPr>
          <w:p w14:paraId="05371FF7">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lang w:val="en-US" w:eastAsia="zh-CN"/>
              </w:rPr>
              <w:t>燃料2</w:t>
            </w:r>
          </w:p>
        </w:tc>
        <w:tc>
          <w:tcPr>
            <w:tcW w:w="0" w:type="auto"/>
            <w:vAlign w:val="center"/>
          </w:tcPr>
          <w:p w14:paraId="652021C0">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kern w:val="0"/>
                <w:sz w:val="20"/>
                <w:szCs w:val="20"/>
                <w:highlight w:val="none"/>
              </w:rPr>
            </w:pPr>
            <w:r>
              <w:rPr>
                <w:rFonts w:hint="default" w:ascii="Times New Roman" w:hAnsi="Times New Roman" w:eastAsia="宋体" w:cs="Times New Roman"/>
                <w:b w:val="0"/>
                <w:bCs/>
                <w:color w:val="000000"/>
                <w:kern w:val="0"/>
                <w:sz w:val="20"/>
                <w:szCs w:val="20"/>
                <w:highlight w:val="none"/>
              </w:rPr>
              <w:t>t或10</w:t>
            </w:r>
            <w:r>
              <w:rPr>
                <w:rFonts w:hint="default" w:ascii="Times New Roman" w:hAnsi="Times New Roman" w:eastAsia="宋体" w:cs="Times New Roman"/>
                <w:b w:val="0"/>
                <w:bCs/>
                <w:color w:val="000000"/>
                <w:kern w:val="0"/>
                <w:sz w:val="20"/>
                <w:szCs w:val="20"/>
                <w:highlight w:val="none"/>
                <w:vertAlign w:val="superscript"/>
              </w:rPr>
              <w:t>4</w:t>
            </w:r>
            <w:r>
              <w:rPr>
                <w:rFonts w:hint="default" w:ascii="Times New Roman" w:hAnsi="Times New Roman" w:eastAsia="宋体" w:cs="Times New Roman"/>
                <w:b w:val="0"/>
                <w:bCs/>
                <w:color w:val="000000"/>
                <w:kern w:val="0"/>
                <w:sz w:val="20"/>
                <w:szCs w:val="20"/>
                <w:highlight w:val="none"/>
              </w:rPr>
              <w:t>m</w:t>
            </w:r>
            <w:r>
              <w:rPr>
                <w:rFonts w:hint="default" w:ascii="Times New Roman" w:hAnsi="Times New Roman" w:eastAsia="宋体" w:cs="Times New Roman"/>
                <w:b w:val="0"/>
                <w:bCs/>
                <w:color w:val="000000"/>
                <w:kern w:val="0"/>
                <w:sz w:val="20"/>
                <w:szCs w:val="20"/>
                <w:highlight w:val="none"/>
                <w:vertAlign w:val="superscript"/>
              </w:rPr>
              <w:t>3</w:t>
            </w:r>
          </w:p>
        </w:tc>
        <w:tc>
          <w:tcPr>
            <w:tcW w:w="0" w:type="auto"/>
            <w:vAlign w:val="center"/>
          </w:tcPr>
          <w:p w14:paraId="3021336C">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sz w:val="20"/>
                <w:szCs w:val="20"/>
                <w:highlight w:val="none"/>
              </w:rPr>
            </w:pPr>
          </w:p>
        </w:tc>
        <w:tc>
          <w:tcPr>
            <w:tcW w:w="0" w:type="auto"/>
            <w:vAlign w:val="center"/>
          </w:tcPr>
          <w:p w14:paraId="1D7421B8">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rPr>
            </w:pPr>
          </w:p>
        </w:tc>
        <w:tc>
          <w:tcPr>
            <w:tcW w:w="0" w:type="auto"/>
            <w:vAlign w:val="center"/>
          </w:tcPr>
          <w:p w14:paraId="7A6118D3">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rPr>
            </w:pPr>
          </w:p>
        </w:tc>
      </w:tr>
      <w:tr w14:paraId="79D9DA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0" w:type="auto"/>
            <w:vMerge w:val="continue"/>
            <w:vAlign w:val="center"/>
          </w:tcPr>
          <w:p w14:paraId="309CA5CA">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sz w:val="20"/>
                <w:szCs w:val="20"/>
                <w:highlight w:val="none"/>
              </w:rPr>
            </w:pPr>
          </w:p>
        </w:tc>
        <w:tc>
          <w:tcPr>
            <w:tcW w:w="0" w:type="auto"/>
            <w:shd w:val="clear" w:color="auto" w:fill="auto"/>
            <w:vAlign w:val="center"/>
          </w:tcPr>
          <w:p w14:paraId="5A5ED2CF">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sz w:val="20"/>
                <w:szCs w:val="20"/>
                <w:highlight w:val="none"/>
              </w:rPr>
            </w:pPr>
            <w:r>
              <w:rPr>
                <w:rFonts w:hint="default" w:ascii="Times New Roman" w:hAnsi="Times New Roman" w:eastAsia="宋体" w:cs="Times New Roman"/>
                <w:color w:val="000000"/>
                <w:sz w:val="20"/>
                <w:szCs w:val="20"/>
                <w:highlight w:val="none"/>
                <w:lang w:val="en-US" w:eastAsia="zh-CN"/>
              </w:rPr>
              <w:t>燃料3</w:t>
            </w:r>
          </w:p>
        </w:tc>
        <w:tc>
          <w:tcPr>
            <w:tcW w:w="0" w:type="auto"/>
            <w:vAlign w:val="center"/>
          </w:tcPr>
          <w:p w14:paraId="6B17B3CC">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b w:val="0"/>
                <w:bCs/>
                <w:kern w:val="0"/>
                <w:sz w:val="20"/>
                <w:szCs w:val="20"/>
                <w:highlight w:val="none"/>
              </w:rPr>
            </w:pPr>
            <w:r>
              <w:rPr>
                <w:rFonts w:hint="default" w:ascii="Times New Roman" w:hAnsi="Times New Roman" w:eastAsia="宋体" w:cs="Times New Roman"/>
                <w:b w:val="0"/>
                <w:bCs/>
                <w:color w:val="000000"/>
                <w:kern w:val="0"/>
                <w:sz w:val="20"/>
                <w:szCs w:val="20"/>
                <w:highlight w:val="none"/>
              </w:rPr>
              <w:t>t或10</w:t>
            </w:r>
            <w:r>
              <w:rPr>
                <w:rFonts w:hint="default" w:ascii="Times New Roman" w:hAnsi="Times New Roman" w:eastAsia="宋体" w:cs="Times New Roman"/>
                <w:b w:val="0"/>
                <w:bCs/>
                <w:color w:val="000000"/>
                <w:kern w:val="0"/>
                <w:sz w:val="20"/>
                <w:szCs w:val="20"/>
                <w:highlight w:val="none"/>
                <w:vertAlign w:val="superscript"/>
              </w:rPr>
              <w:t>4</w:t>
            </w:r>
            <w:r>
              <w:rPr>
                <w:rFonts w:hint="default" w:ascii="Times New Roman" w:hAnsi="Times New Roman" w:eastAsia="宋体" w:cs="Times New Roman"/>
                <w:b w:val="0"/>
                <w:bCs/>
                <w:color w:val="000000"/>
                <w:kern w:val="0"/>
                <w:sz w:val="20"/>
                <w:szCs w:val="20"/>
                <w:highlight w:val="none"/>
              </w:rPr>
              <w:t>m</w:t>
            </w:r>
            <w:r>
              <w:rPr>
                <w:rFonts w:hint="default" w:ascii="Times New Roman" w:hAnsi="Times New Roman" w:eastAsia="宋体" w:cs="Times New Roman"/>
                <w:b w:val="0"/>
                <w:bCs/>
                <w:color w:val="000000"/>
                <w:kern w:val="0"/>
                <w:sz w:val="20"/>
                <w:szCs w:val="20"/>
                <w:highlight w:val="none"/>
                <w:vertAlign w:val="superscript"/>
              </w:rPr>
              <w:t>3</w:t>
            </w:r>
          </w:p>
        </w:tc>
        <w:tc>
          <w:tcPr>
            <w:tcW w:w="0" w:type="auto"/>
            <w:vAlign w:val="center"/>
          </w:tcPr>
          <w:p w14:paraId="15CB2AE8">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color w:val="000000"/>
                <w:sz w:val="20"/>
                <w:szCs w:val="20"/>
                <w:highlight w:val="none"/>
              </w:rPr>
            </w:pPr>
          </w:p>
        </w:tc>
        <w:tc>
          <w:tcPr>
            <w:tcW w:w="0" w:type="auto"/>
            <w:vAlign w:val="center"/>
          </w:tcPr>
          <w:p w14:paraId="2DBE4655">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rPr>
            </w:pPr>
          </w:p>
        </w:tc>
        <w:tc>
          <w:tcPr>
            <w:tcW w:w="0" w:type="auto"/>
            <w:vAlign w:val="center"/>
          </w:tcPr>
          <w:p w14:paraId="1271CFA5">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auto"/>
              <w:rPr>
                <w:rFonts w:hint="default" w:ascii="Times New Roman" w:hAnsi="Times New Roman" w:eastAsia="宋体" w:cs="Times New Roman"/>
                <w:kern w:val="0"/>
                <w:sz w:val="20"/>
                <w:szCs w:val="20"/>
                <w:highlight w:val="none"/>
              </w:rPr>
            </w:pPr>
          </w:p>
        </w:tc>
      </w:tr>
    </w:tbl>
    <w:p w14:paraId="5007B3E4">
      <w:pPr>
        <w:keepNext w:val="0"/>
        <w:keepLines w:val="0"/>
        <w:pageBreakBefore w:val="0"/>
        <w:numPr>
          <w:ilvl w:val="0"/>
          <w:numId w:val="13"/>
        </w:numPr>
        <w:kinsoku/>
        <w:wordWrap/>
        <w:overflowPunct/>
        <w:topLinePunct w:val="0"/>
        <w:autoSpaceDE/>
        <w:autoSpaceDN/>
        <w:bidi w:val="0"/>
        <w:adjustRightInd/>
        <w:snapToGrid/>
        <w:spacing w:line="240" w:lineRule="auto"/>
        <w:ind w:firstLine="0" w:firstLineChars="0"/>
        <w:jc w:val="left"/>
        <w:textAlignment w:val="auto"/>
        <w:rPr>
          <w:rFonts w:hint="default" w:ascii="Times New Roman" w:hAnsi="Times New Roman" w:cs="Times New Roman"/>
          <w:color w:val="000000"/>
          <w:sz w:val="24"/>
          <w:szCs w:val="24"/>
          <w:highlight w:val="none"/>
          <w:lang w:val="en-US" w:eastAsia="zh-CN"/>
        </w:rPr>
      </w:pPr>
      <w:r>
        <w:rPr>
          <w:rFonts w:hint="default" w:ascii="Times New Roman" w:hAnsi="Times New Roman" w:cs="Times New Roman"/>
          <w:color w:val="000000"/>
          <w:sz w:val="24"/>
          <w:szCs w:val="24"/>
          <w:highlight w:val="none"/>
          <w:lang w:val="en-US" w:eastAsia="zh-CN"/>
        </w:rPr>
        <w:t>药剂的计算过程见表2</w:t>
      </w:r>
    </w:p>
    <w:p w14:paraId="7DBDDFBF">
      <w:pPr>
        <w:keepNext w:val="0"/>
        <w:keepLines w:val="0"/>
        <w:pageBreakBefore w:val="0"/>
        <w:numPr>
          <w:ilvl w:val="0"/>
          <w:numId w:val="0"/>
        </w:numPr>
        <w:kinsoku/>
        <w:wordWrap/>
        <w:overflowPunct/>
        <w:topLinePunct w:val="0"/>
        <w:autoSpaceDE/>
        <w:autoSpaceDN/>
        <w:bidi w:val="0"/>
        <w:adjustRightInd/>
        <w:snapToGrid/>
        <w:spacing w:line="240" w:lineRule="auto"/>
        <w:jc w:val="left"/>
        <w:textAlignment w:val="auto"/>
        <w:rPr>
          <w:rFonts w:hint="default" w:ascii="Times New Roman" w:hAnsi="Times New Roman" w:cs="Times New Roman"/>
          <w:color w:val="000000"/>
          <w:sz w:val="24"/>
          <w:szCs w:val="24"/>
          <w:highlight w:val="none"/>
          <w:lang w:val="en-US" w:eastAsia="zh-CN"/>
        </w:rPr>
      </w:pPr>
    </w:p>
    <w:p w14:paraId="025AFF8D">
      <w:pPr>
        <w:keepNext w:val="0"/>
        <w:keepLines w:val="0"/>
        <w:widowControl w:val="0"/>
        <w:suppressLineNumbers w:val="0"/>
        <w:spacing w:before="0" w:beforeAutospacing="0" w:after="0" w:afterAutospacing="0" w:line="360" w:lineRule="auto"/>
        <w:ind w:left="0" w:right="0" w:firstLine="560" w:firstLineChars="200"/>
        <w:jc w:val="both"/>
        <w:rPr>
          <w:rFonts w:hint="default" w:ascii="Times New Roman" w:hAnsi="Times New Roman" w:cs="Times New Roman"/>
          <w:color w:val="000000"/>
          <w:sz w:val="24"/>
          <w:szCs w:val="24"/>
          <w:highlight w:val="none"/>
          <w:lang w:val="en-US" w:eastAsia="zh-CN"/>
        </w:rPr>
      </w:pPr>
      <w:r>
        <w:rPr>
          <w:rFonts w:hint="default" w:ascii="Times New Roman" w:hAnsi="Times New Roman" w:eastAsia="宋体" w:cs="Times New Roman"/>
          <w:color w:val="auto"/>
          <w:kern w:val="2"/>
          <w:sz w:val="28"/>
          <w:szCs w:val="28"/>
          <w:lang w:val="en-US" w:eastAsia="zh-CN" w:bidi="ar"/>
          <w:woUserID w:val="1"/>
        </w:rPr>
        <w:t xml:space="preserve">表4. </w:t>
      </w:r>
      <w:r>
        <w:rPr>
          <w:rFonts w:hint="eastAsia" w:eastAsia="宋体" w:cs="Times New Roman"/>
          <w:color w:val="auto"/>
          <w:kern w:val="2"/>
          <w:sz w:val="28"/>
          <w:szCs w:val="28"/>
          <w:lang w:val="en-US" w:eastAsia="zh-CN" w:bidi="ar"/>
          <w:woUserID w:val="1"/>
        </w:rPr>
        <w:t>试算</w:t>
      </w:r>
      <w:r>
        <w:rPr>
          <w:rFonts w:hint="default" w:ascii="Times New Roman" w:hAnsi="Times New Roman" w:eastAsia="宋体" w:cs="Times New Roman"/>
          <w:color w:val="auto"/>
          <w:kern w:val="2"/>
          <w:sz w:val="28"/>
          <w:szCs w:val="28"/>
          <w:lang w:val="en-US" w:eastAsia="zh-CN" w:bidi="ar"/>
          <w:woUserID w:val="1"/>
        </w:rPr>
        <w:t>企业药剂使用情况</w:t>
      </w:r>
    </w:p>
    <w:tbl>
      <w:tblPr>
        <w:tblStyle w:val="88"/>
        <w:tblW w:w="0" w:type="auto"/>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416"/>
        <w:gridCol w:w="1331"/>
        <w:gridCol w:w="768"/>
        <w:gridCol w:w="768"/>
        <w:gridCol w:w="768"/>
        <w:gridCol w:w="768"/>
        <w:gridCol w:w="787"/>
        <w:gridCol w:w="787"/>
      </w:tblGrid>
      <w:tr w14:paraId="2A6DFDB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00" w:hRule="atLeast"/>
          <w:jc w:val="center"/>
        </w:trPr>
        <w:tc>
          <w:tcPr>
            <w:tcW w:w="0" w:type="auto"/>
            <w:vMerge w:val="restart"/>
            <w:tcBorders>
              <w:top w:val="single" w:color="000000" w:sz="4" w:space="0"/>
              <w:left w:val="single" w:color="000000" w:sz="4" w:space="0"/>
              <w:right w:val="single" w:color="000000" w:sz="4" w:space="0"/>
            </w:tcBorders>
            <w:shd w:val="clear" w:color="auto" w:fill="auto"/>
            <w:noWrap/>
            <w:vAlign w:val="center"/>
          </w:tcPr>
          <w:p w14:paraId="3E0F22F1">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top"/>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药剂名称</w:t>
            </w:r>
          </w:p>
        </w:tc>
        <w:tc>
          <w:tcPr>
            <w:tcW w:w="0" w:type="auto"/>
            <w:tcBorders>
              <w:top w:val="single" w:color="000000" w:sz="4" w:space="0"/>
              <w:left w:val="single" w:color="000000" w:sz="4" w:space="0"/>
              <w:right w:val="single" w:color="000000" w:sz="4" w:space="0"/>
            </w:tcBorders>
            <w:shd w:val="clear" w:color="auto" w:fill="auto"/>
            <w:noWrap/>
            <w:vAlign w:val="center"/>
          </w:tcPr>
          <w:p w14:paraId="6E2062FB">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top"/>
              <w:rPr>
                <w:rFonts w:hint="default" w:ascii="Times New Roman" w:hAnsi="Times New Roman" w:eastAsia="宋体" w:cs="Times New Roman"/>
                <w:b/>
                <w:bCs/>
                <w:i w:val="0"/>
                <w:iCs w:val="0"/>
                <w:color w:val="000000"/>
                <w:sz w:val="20"/>
                <w:szCs w:val="20"/>
                <w:u w:val="none"/>
                <w:lang w:val="en-US" w:eastAsia="zh-CN"/>
              </w:rPr>
            </w:pPr>
            <w:r>
              <w:rPr>
                <w:rFonts w:hint="default" w:ascii="Times New Roman" w:hAnsi="Times New Roman" w:eastAsia="宋体" w:cs="Times New Roman"/>
                <w:b/>
                <w:bCs/>
                <w:i w:val="0"/>
                <w:iCs w:val="0"/>
                <w:color w:val="000000"/>
                <w:sz w:val="20"/>
                <w:szCs w:val="20"/>
                <w:u w:val="none"/>
                <w:lang w:val="en-US" w:eastAsia="zh-CN"/>
              </w:rPr>
              <w:t>排放因子</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E5766">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bCs/>
                <w:i w:val="0"/>
                <w:iCs w:val="0"/>
                <w:color w:val="000000"/>
                <w:sz w:val="20"/>
                <w:szCs w:val="20"/>
                <w:u w:val="none"/>
                <w:lang w:val="en-US"/>
              </w:rPr>
            </w:pPr>
            <w:r>
              <w:rPr>
                <w:rFonts w:hint="default" w:ascii="Times New Roman" w:hAnsi="Times New Roman" w:eastAsia="宋体" w:cs="Times New Roman"/>
                <w:b/>
                <w:bCs/>
                <w:i w:val="0"/>
                <w:iCs w:val="0"/>
                <w:color w:val="000000"/>
                <w:kern w:val="0"/>
                <w:sz w:val="20"/>
                <w:szCs w:val="20"/>
                <w:u w:val="none"/>
                <w:lang w:val="en-US" w:eastAsia="zh-CN" w:bidi="ar"/>
              </w:rPr>
              <w:t>用量（t)</w:t>
            </w:r>
          </w:p>
        </w:tc>
        <w:tc>
          <w:tcPr>
            <w:tcW w:w="0" w:type="auto"/>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75C1E">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bCs/>
                <w:i w:val="0"/>
                <w:iCs w:val="0"/>
                <w:color w:val="000000"/>
                <w:sz w:val="20"/>
                <w:szCs w:val="20"/>
                <w:u w:val="none"/>
                <w:lang w:val="en-US"/>
              </w:rPr>
            </w:pPr>
            <w:r>
              <w:rPr>
                <w:rFonts w:hint="default" w:ascii="Times New Roman" w:hAnsi="Times New Roman" w:eastAsia="宋体" w:cs="Times New Roman"/>
                <w:b/>
                <w:bCs/>
                <w:i w:val="0"/>
                <w:iCs w:val="0"/>
                <w:color w:val="000000"/>
                <w:kern w:val="0"/>
                <w:sz w:val="20"/>
                <w:szCs w:val="20"/>
                <w:u w:val="none"/>
                <w:lang w:val="en-US" w:eastAsia="zh-CN" w:bidi="ar"/>
              </w:rPr>
              <w:t>二氧化碳排放（</w:t>
            </w:r>
            <w:r>
              <w:rPr>
                <w:rStyle w:val="167"/>
                <w:rFonts w:hint="default" w:ascii="Times New Roman" w:hAnsi="Times New Roman" w:eastAsia="宋体" w:cs="Times New Roman"/>
                <w:b w:val="0"/>
                <w:bCs w:val="0"/>
                <w:sz w:val="20"/>
                <w:szCs w:val="20"/>
                <w:lang w:val="en-US" w:eastAsia="zh-CN" w:bidi="ar"/>
              </w:rPr>
              <w:t>tCO</w:t>
            </w:r>
            <w:r>
              <w:rPr>
                <w:rStyle w:val="168"/>
                <w:rFonts w:hint="default" w:ascii="Times New Roman" w:hAnsi="Times New Roman" w:eastAsia="宋体" w:cs="Times New Roman"/>
                <w:b w:val="0"/>
                <w:bCs w:val="0"/>
                <w:sz w:val="20"/>
                <w:szCs w:val="20"/>
                <w:lang w:val="en-US" w:eastAsia="zh-CN" w:bidi="ar"/>
              </w:rPr>
              <w:t>2</w:t>
            </w:r>
            <w:r>
              <w:rPr>
                <w:rStyle w:val="168"/>
                <w:rFonts w:hint="default" w:ascii="Times New Roman" w:hAnsi="Times New Roman" w:eastAsia="宋体" w:cs="Times New Roman"/>
                <w:b w:val="0"/>
                <w:bCs w:val="0"/>
                <w:sz w:val="20"/>
                <w:szCs w:val="20"/>
                <w:vertAlign w:val="baseline"/>
                <w:lang w:val="en-US" w:eastAsia="zh-CN" w:bidi="ar"/>
              </w:rPr>
              <w:t>e）</w:t>
            </w:r>
          </w:p>
        </w:tc>
      </w:tr>
      <w:tr w14:paraId="6428F1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jc w:val="center"/>
        </w:trPr>
        <w:tc>
          <w:tcPr>
            <w:tcW w:w="0" w:type="auto"/>
            <w:vMerge w:val="continue"/>
            <w:tcBorders>
              <w:left w:val="single" w:color="000000" w:sz="4" w:space="0"/>
              <w:right w:val="single" w:color="000000" w:sz="4" w:space="0"/>
            </w:tcBorders>
            <w:shd w:val="clear" w:color="auto" w:fill="auto"/>
            <w:vAlign w:val="top"/>
          </w:tcPr>
          <w:p w14:paraId="6ED64E7D">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top"/>
              <w:rPr>
                <w:rFonts w:hint="default" w:ascii="Times New Roman" w:hAnsi="Times New Roman" w:eastAsia="宋体" w:cs="Times New Roman"/>
                <w:b/>
                <w:bCs/>
                <w:i w:val="0"/>
                <w:iCs w:val="0"/>
                <w:color w:val="000000"/>
                <w:sz w:val="20"/>
                <w:szCs w:val="20"/>
                <w:u w:val="none"/>
              </w:rPr>
            </w:pPr>
          </w:p>
        </w:tc>
        <w:tc>
          <w:tcPr>
            <w:tcW w:w="0" w:type="auto"/>
            <w:tcBorders>
              <w:left w:val="single" w:color="000000" w:sz="4" w:space="0"/>
              <w:right w:val="single" w:color="000000" w:sz="4" w:space="0"/>
            </w:tcBorders>
            <w:shd w:val="clear" w:color="auto" w:fill="auto"/>
            <w:vAlign w:val="center"/>
          </w:tcPr>
          <w:p w14:paraId="04E0E0D9">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top"/>
              <w:rPr>
                <w:rFonts w:hint="default" w:ascii="Times New Roman" w:hAnsi="Times New Roman" w:eastAsia="宋体" w:cs="Times New Roman"/>
                <w:b/>
                <w:bCs/>
                <w:i w:val="0"/>
                <w:iCs w:val="0"/>
                <w:color w:val="000000"/>
                <w:kern w:val="2"/>
                <w:sz w:val="20"/>
                <w:szCs w:val="20"/>
                <w:u w:val="none"/>
                <w:lang w:val="en-US" w:eastAsia="zh-CN" w:bidi="ar-SA"/>
              </w:rPr>
            </w:pPr>
            <w:r>
              <w:rPr>
                <w:rFonts w:hint="default" w:ascii="Times New Roman" w:hAnsi="Times New Roman" w:eastAsia="宋体" w:cs="Times New Roman"/>
                <w:b w:val="0"/>
                <w:bCs w:val="0"/>
                <w:i w:val="0"/>
                <w:iCs w:val="0"/>
                <w:color w:val="000000"/>
                <w:kern w:val="0"/>
                <w:sz w:val="20"/>
                <w:szCs w:val="20"/>
                <w:u w:val="none"/>
                <w:lang w:val="en-US" w:eastAsia="zh-CN" w:bidi="ar"/>
              </w:rPr>
              <w:t>（</w:t>
            </w:r>
            <w:r>
              <w:rPr>
                <w:rStyle w:val="167"/>
                <w:rFonts w:hint="default" w:ascii="Times New Roman" w:hAnsi="Times New Roman" w:eastAsia="宋体" w:cs="Times New Roman"/>
                <w:b w:val="0"/>
                <w:bCs w:val="0"/>
                <w:sz w:val="20"/>
                <w:szCs w:val="20"/>
                <w:lang w:val="en-US" w:eastAsia="zh-CN" w:bidi="ar"/>
              </w:rPr>
              <w:t>kg CO</w:t>
            </w:r>
            <w:r>
              <w:rPr>
                <w:rStyle w:val="168"/>
                <w:rFonts w:hint="default" w:ascii="Times New Roman" w:hAnsi="Times New Roman" w:eastAsia="宋体" w:cs="Times New Roman"/>
                <w:b w:val="0"/>
                <w:bCs w:val="0"/>
                <w:sz w:val="20"/>
                <w:szCs w:val="20"/>
                <w:lang w:val="en-US" w:eastAsia="zh-CN" w:bidi="ar"/>
              </w:rPr>
              <w:t>2</w:t>
            </w:r>
            <w:r>
              <w:rPr>
                <w:rStyle w:val="167"/>
                <w:rFonts w:hint="default" w:ascii="Times New Roman" w:hAnsi="Times New Roman" w:eastAsia="宋体" w:cs="Times New Roman"/>
                <w:b w:val="0"/>
                <w:bCs w:val="0"/>
                <w:sz w:val="20"/>
                <w:szCs w:val="20"/>
                <w:lang w:val="en-US" w:eastAsia="zh-CN" w:bidi="ar"/>
              </w:rPr>
              <w:t>/kg)</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8675B03">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top"/>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企业</w:t>
            </w:r>
            <w:r>
              <w:rPr>
                <w:rStyle w:val="167"/>
                <w:rFonts w:hint="default" w:ascii="Times New Roman" w:hAnsi="Times New Roman" w:eastAsia="宋体" w:cs="Times New Roman"/>
                <w:sz w:val="20"/>
                <w:szCs w:val="2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F5C85D3">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top"/>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企业</w:t>
            </w:r>
            <w:r>
              <w:rPr>
                <w:rStyle w:val="167"/>
                <w:rFonts w:hint="default" w:ascii="Times New Roman" w:hAnsi="Times New Roman" w:eastAsia="宋体" w:cs="Times New Roman"/>
                <w:sz w:val="20"/>
                <w:szCs w:val="2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23741B7">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top"/>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企业</w:t>
            </w:r>
            <w:r>
              <w:rPr>
                <w:rStyle w:val="167"/>
                <w:rFonts w:hint="default" w:ascii="Times New Roman" w:hAnsi="Times New Roman" w:eastAsia="宋体" w:cs="Times New Roman"/>
                <w:sz w:val="20"/>
                <w:szCs w:val="20"/>
                <w:lang w:val="en-US" w:eastAsia="zh-CN" w:bidi="ar"/>
              </w:rPr>
              <w:t>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3C37BCD">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top"/>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企业</w:t>
            </w:r>
            <w:r>
              <w:rPr>
                <w:rStyle w:val="167"/>
                <w:rFonts w:hint="default" w:ascii="Times New Roman" w:hAnsi="Times New Roman" w:eastAsia="宋体" w:cs="Times New Roman"/>
                <w:sz w:val="20"/>
                <w:szCs w:val="20"/>
                <w:lang w:val="en-US" w:eastAsia="zh-CN" w:bidi="ar"/>
              </w:rPr>
              <w:t>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2667C30">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top"/>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企业</w:t>
            </w:r>
            <w:r>
              <w:rPr>
                <w:rStyle w:val="167"/>
                <w:rFonts w:hint="default" w:ascii="Times New Roman" w:hAnsi="Times New Roman" w:eastAsia="宋体" w:cs="Times New Roman"/>
                <w:sz w:val="20"/>
                <w:szCs w:val="20"/>
                <w:lang w:val="en-US" w:eastAsia="zh-CN" w:bidi="ar"/>
              </w:rPr>
              <w:t>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BBC25C8">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top"/>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企业</w:t>
            </w:r>
            <w:r>
              <w:rPr>
                <w:rStyle w:val="167"/>
                <w:rFonts w:hint="default" w:ascii="Times New Roman" w:hAnsi="Times New Roman" w:eastAsia="宋体" w:cs="Times New Roman"/>
                <w:sz w:val="20"/>
                <w:szCs w:val="20"/>
                <w:lang w:val="en-US" w:eastAsia="zh-CN" w:bidi="ar"/>
              </w:rPr>
              <w:t>3</w:t>
            </w:r>
          </w:p>
        </w:tc>
      </w:tr>
      <w:tr w14:paraId="0D1074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BACEDAB">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氯化铁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50F1CC2">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2.86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737987D">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8F710C4">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FD744FE">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9999C3">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344.0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5593C5">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31E6A">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r>
      <w:tr w14:paraId="026BF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C54BAE2">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硫酸亚铁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36DFA64">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B5E916E">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937A1D0">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74F6C10">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1B645">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F278B1">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046FD">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r>
      <w:tr w14:paraId="463E6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16FEC58">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硫酸铁</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7FA548B">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3326ABE">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3445863">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DD58410">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1074.3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21F44">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4E5001">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0D9EA">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247.1</w:t>
            </w:r>
          </w:p>
        </w:tc>
      </w:tr>
      <w:tr w14:paraId="4C2CC0A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0C99ACC">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聚合氯化铝</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CFE9C26">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1.75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FB02B49">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24.1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CBC1C9F">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78.5</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83D6F3E">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ABAF4">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42.1</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0616D9">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A8190">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r>
      <w:tr w14:paraId="26A9A37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96DADFC">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乙二醇</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0CC987D">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FB725BD">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AE52E09">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AD11DD3">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645792">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35100">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91F3B">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i w:val="0"/>
                <w:iCs w:val="0"/>
                <w:color w:val="000000"/>
                <w:sz w:val="20"/>
                <w:szCs w:val="20"/>
                <w:u w:val="none"/>
              </w:rPr>
            </w:pPr>
          </w:p>
        </w:tc>
      </w:tr>
      <w:tr w14:paraId="70EAA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5C50701">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葡萄糖</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AC5FF3A">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D3626DE">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top"/>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kern w:val="0"/>
                <w:sz w:val="20"/>
                <w:szCs w:val="20"/>
                <w:u w:val="none"/>
                <w:lang w:val="en-US" w:eastAsia="zh-CN" w:bidi="ar"/>
              </w:rPr>
              <w:t>115.0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C9B64E7">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671035D">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E162F2">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kern w:val="0"/>
                <w:sz w:val="20"/>
                <w:szCs w:val="20"/>
                <w:u w:val="none"/>
                <w:lang w:val="en-US" w:eastAsia="zh-CN" w:bidi="ar"/>
              </w:rPr>
              <w:t>161.0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563E14">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6E2B6">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r>
      <w:tr w14:paraId="5EA5F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59FF1B3">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甲醇（煤制）</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65E491E">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74C13B9">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7C372E4">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208767D">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1D8921">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44.5</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64F320">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3A78B4">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r>
      <w:tr w14:paraId="59758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1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4C872356">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聚丙烯酰胺</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B4C21E3">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215FC39">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10E60AA">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4.98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E6EAFB7">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429B38">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12.3</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C22BA">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2A9DB9">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r>
      <w:tr w14:paraId="396855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B958772">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发酵液</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62A0C07">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64B3F44">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23</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793D91D">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D2475D2">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0CE25">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1759D">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766DA">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r>
      <w:tr w14:paraId="349E0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4C408ED">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氧气</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F906868">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0.32</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7E374F8">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0.27</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D526BAB">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8B42B2B">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C6C67">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0.087</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9A277">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4F037">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r>
      <w:tr w14:paraId="573A66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7CF007B1">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氯</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217EC15">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1.08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043A8BC">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0.76</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32C3CDC">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4C4E7037">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E969A4">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0.824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DD2E2C">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794F0">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r>
      <w:tr w14:paraId="1FEB8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05137959">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次氯酸钠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8C8709">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2.99</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08775">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275CF7B">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12D8111">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top"/>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254.2</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40D6B0">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5EAD9E">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E614B">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i w:val="0"/>
                <w:iCs w:val="0"/>
                <w:color w:val="000000"/>
                <w:sz w:val="20"/>
                <w:szCs w:val="20"/>
                <w:u w:val="none"/>
                <w:lang w:val="en-US"/>
              </w:rPr>
            </w:pPr>
            <w:r>
              <w:rPr>
                <w:rFonts w:hint="default" w:ascii="Times New Roman" w:hAnsi="Times New Roman" w:eastAsia="宋体" w:cs="Times New Roman"/>
                <w:i w:val="0"/>
                <w:iCs w:val="0"/>
                <w:color w:val="000000"/>
                <w:kern w:val="0"/>
                <w:sz w:val="20"/>
                <w:szCs w:val="20"/>
                <w:u w:val="none"/>
                <w:lang w:val="en-US" w:eastAsia="zh-CN" w:bidi="ar"/>
              </w:rPr>
              <w:t>760.0</w:t>
            </w:r>
          </w:p>
        </w:tc>
      </w:tr>
      <w:tr w14:paraId="0CBC97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center"/>
          </w:tcPr>
          <w:p w14:paraId="3DC3D656">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乙酸钠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5B73F6A">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top"/>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2.9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51C03F9">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86B3B10">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top"/>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349.1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EB3CA54">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5D289B">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DEE38">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1012.4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52856">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0</w:t>
            </w:r>
          </w:p>
        </w:tc>
      </w:tr>
      <w:tr w14:paraId="5AD2D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48C471C">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top"/>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生石灰</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38770A">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1.18</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B3DD61F">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52C326F3">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0D362BE">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top"/>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556.4</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73AA59">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BC2E0">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0</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391056">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656.5</w:t>
            </w:r>
          </w:p>
        </w:tc>
      </w:tr>
      <w:tr w14:paraId="395085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F541756">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top"/>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新型脱泥药剂</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9A99EA">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400" w:firstLineChars="200"/>
              <w:jc w:val="both"/>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DBC35B3">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18C6FD36">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F7F2642">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top"/>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218.0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6C7879F">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04337DF">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93C924">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0"/>
                <w:szCs w:val="20"/>
                <w:u w:val="none"/>
              </w:rPr>
            </w:pPr>
          </w:p>
        </w:tc>
      </w:tr>
      <w:tr w14:paraId="495151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900EEE2">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top"/>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复合碳源</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FEE18">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400" w:firstLineChars="200"/>
              <w:jc w:val="both"/>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无</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3B903F4">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6A2B9E4">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05DF92BF">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top"/>
              <w:rPr>
                <w:rFonts w:hint="default" w:ascii="Times New Roman" w:hAnsi="Times New Roman" w:eastAsia="宋体" w:cs="Times New Roman"/>
                <w:b w:val="0"/>
                <w:bCs w:val="0"/>
                <w:i w:val="0"/>
                <w:iCs w:val="0"/>
                <w:color w:val="000000"/>
                <w:sz w:val="20"/>
                <w:szCs w:val="20"/>
                <w:u w:val="none"/>
              </w:rPr>
            </w:pPr>
            <w:r>
              <w:rPr>
                <w:rFonts w:hint="default" w:ascii="Times New Roman" w:hAnsi="Times New Roman" w:eastAsia="宋体" w:cs="Times New Roman"/>
                <w:b w:val="0"/>
                <w:bCs w:val="0"/>
                <w:i w:val="0"/>
                <w:iCs w:val="0"/>
                <w:color w:val="000000"/>
                <w:kern w:val="0"/>
                <w:sz w:val="20"/>
                <w:szCs w:val="20"/>
                <w:u w:val="none"/>
                <w:lang w:val="en-US" w:eastAsia="zh-CN" w:bidi="ar"/>
              </w:rPr>
              <w:t>779.0</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61366EB7">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D2C923C">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1FCFAA">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val="0"/>
                <w:bCs w:val="0"/>
                <w:i w:val="0"/>
                <w:iCs w:val="0"/>
                <w:color w:val="000000"/>
                <w:sz w:val="20"/>
                <w:szCs w:val="20"/>
                <w:u w:val="none"/>
              </w:rPr>
            </w:pPr>
          </w:p>
        </w:tc>
      </w:tr>
      <w:tr w14:paraId="2FFF4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jc w:val="center"/>
        </w:trPr>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96F772C">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both"/>
              <w:textAlignment w:val="top"/>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排放总量</w:t>
            </w: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93D8DE">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2CD71F32">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377A131">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E161F">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bCs/>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E600C89">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top"/>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605.9</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717A714B">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top"/>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1157.1</w:t>
            </w:r>
          </w:p>
        </w:tc>
        <w:tc>
          <w:tcPr>
            <w:tcW w:w="0" w:type="auto"/>
            <w:tcBorders>
              <w:top w:val="single" w:color="000000" w:sz="4" w:space="0"/>
              <w:left w:val="single" w:color="000000" w:sz="4" w:space="0"/>
              <w:bottom w:val="single" w:color="000000" w:sz="4" w:space="0"/>
              <w:right w:val="single" w:color="000000" w:sz="4" w:space="0"/>
            </w:tcBorders>
            <w:shd w:val="clear" w:color="auto" w:fill="auto"/>
            <w:vAlign w:val="top"/>
          </w:tcPr>
          <w:p w14:paraId="36213856">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top"/>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1663.6</w:t>
            </w:r>
          </w:p>
        </w:tc>
      </w:tr>
    </w:tbl>
    <w:p w14:paraId="3EC14F5B">
      <w:pPr>
        <w:keepNext w:val="0"/>
        <w:keepLines w:val="0"/>
        <w:widowControl w:val="0"/>
        <w:suppressLineNumbers w:val="0"/>
        <w:spacing w:before="0" w:beforeAutospacing="0" w:after="0" w:afterAutospacing="0" w:line="360" w:lineRule="auto"/>
        <w:ind w:left="0" w:right="0" w:firstLine="560" w:firstLineChars="200"/>
        <w:jc w:val="both"/>
        <w:rPr>
          <w:rFonts w:hint="default" w:ascii="Times New Roman" w:hAnsi="Times New Roman" w:eastAsia="宋体" w:cs="Times New Roman"/>
          <w:color w:val="auto"/>
          <w:kern w:val="2"/>
          <w:sz w:val="28"/>
          <w:szCs w:val="28"/>
          <w:lang w:val="en-US" w:eastAsia="zh-CN" w:bidi="ar"/>
          <w:woUserID w:val="1"/>
        </w:rPr>
      </w:pPr>
    </w:p>
    <w:p w14:paraId="76D81801">
      <w:pPr>
        <w:keepNext w:val="0"/>
        <w:keepLines w:val="0"/>
        <w:widowControl w:val="0"/>
        <w:suppressLineNumbers w:val="0"/>
        <w:spacing w:before="0" w:beforeAutospacing="0" w:after="0" w:afterAutospacing="0" w:line="360" w:lineRule="auto"/>
        <w:ind w:left="0" w:right="0" w:firstLine="560" w:firstLineChars="200"/>
        <w:jc w:val="both"/>
        <w:rPr>
          <w:rFonts w:hint="default" w:ascii="Times New Roman" w:hAnsi="Times New Roman" w:eastAsia="宋体" w:cs="Times New Roman"/>
          <w:color w:val="auto"/>
          <w:kern w:val="2"/>
          <w:sz w:val="28"/>
          <w:szCs w:val="28"/>
          <w:lang w:val="en-US" w:eastAsia="zh-CN" w:bidi="ar"/>
          <w:woUserID w:val="1"/>
        </w:rPr>
      </w:pPr>
      <w:r>
        <w:rPr>
          <w:rFonts w:hint="default" w:ascii="Times New Roman" w:hAnsi="Times New Roman" w:eastAsia="宋体" w:cs="Times New Roman"/>
          <w:color w:val="auto"/>
          <w:kern w:val="2"/>
          <w:sz w:val="28"/>
          <w:szCs w:val="28"/>
          <w:lang w:val="en-US" w:eastAsia="zh-CN" w:bidi="ar"/>
          <w:woUserID w:val="1"/>
        </w:rPr>
        <w:t xml:space="preserve">表5. </w:t>
      </w:r>
      <w:r>
        <w:rPr>
          <w:rFonts w:hint="eastAsia" w:eastAsia="宋体" w:cs="Times New Roman"/>
          <w:color w:val="auto"/>
          <w:kern w:val="2"/>
          <w:sz w:val="28"/>
          <w:szCs w:val="28"/>
          <w:lang w:val="en-US" w:eastAsia="zh-CN" w:bidi="ar"/>
          <w:woUserID w:val="1"/>
        </w:rPr>
        <w:t>试算</w:t>
      </w:r>
      <w:r>
        <w:rPr>
          <w:rFonts w:hint="default" w:ascii="Times New Roman" w:hAnsi="Times New Roman" w:eastAsia="宋体" w:cs="Times New Roman"/>
          <w:color w:val="auto"/>
          <w:kern w:val="2"/>
          <w:sz w:val="28"/>
          <w:szCs w:val="28"/>
          <w:lang w:val="en-US" w:eastAsia="zh-CN" w:bidi="ar"/>
          <w:woUserID w:val="1"/>
        </w:rPr>
        <w:t>企业核算的排放量情况 （tCO</w:t>
      </w:r>
      <w:r>
        <w:rPr>
          <w:rFonts w:hint="default" w:ascii="Times New Roman" w:hAnsi="Times New Roman" w:eastAsia="宋体" w:cs="Times New Roman"/>
          <w:color w:val="auto"/>
          <w:kern w:val="2"/>
          <w:sz w:val="28"/>
          <w:szCs w:val="28"/>
          <w:vertAlign w:val="subscript"/>
          <w:lang w:val="en-US" w:eastAsia="zh-CN" w:bidi="ar"/>
          <w:woUserID w:val="1"/>
        </w:rPr>
        <w:t>2</w:t>
      </w:r>
      <w:r>
        <w:rPr>
          <w:rFonts w:hint="default" w:ascii="Times New Roman" w:hAnsi="Times New Roman" w:eastAsia="宋体" w:cs="Times New Roman"/>
          <w:color w:val="auto"/>
          <w:kern w:val="2"/>
          <w:sz w:val="28"/>
          <w:szCs w:val="28"/>
          <w:lang w:val="en-US" w:eastAsia="zh-CN" w:bidi="ar"/>
          <w:woUserID w:val="1"/>
        </w:rPr>
        <w:t>e)</w:t>
      </w:r>
    </w:p>
    <w:tbl>
      <w:tblPr>
        <w:tblStyle w:val="89"/>
        <w:tblW w:w="0" w:type="auto"/>
        <w:tblInd w:w="22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491"/>
        <w:gridCol w:w="2325"/>
        <w:gridCol w:w="1329"/>
        <w:gridCol w:w="1580"/>
        <w:gridCol w:w="1578"/>
      </w:tblGrid>
      <w:tr w14:paraId="00D7388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40" w:hRule="atLeast"/>
        </w:trPr>
        <w:tc>
          <w:tcPr>
            <w:tcW w:w="3816" w:type="dxa"/>
            <w:gridSpan w:val="2"/>
          </w:tcPr>
          <w:p w14:paraId="6A27CB83">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kern w:val="24"/>
                <w:sz w:val="20"/>
                <w:szCs w:val="20"/>
                <w:highlight w:val="none"/>
                <w:lang w:val="en-US" w:eastAsia="zh-CN"/>
              </w:rPr>
            </w:pPr>
            <w:r>
              <w:rPr>
                <w:rFonts w:hint="default" w:ascii="Times New Roman" w:hAnsi="Times New Roman" w:eastAsia="宋体" w:cs="Times New Roman"/>
                <w:b/>
                <w:bCs/>
                <w:kern w:val="24"/>
                <w:sz w:val="20"/>
                <w:szCs w:val="20"/>
                <w:highlight w:val="none"/>
                <w:lang w:val="en-US" w:eastAsia="zh-CN"/>
              </w:rPr>
              <w:t>排放源类别</w:t>
            </w:r>
          </w:p>
        </w:tc>
        <w:tc>
          <w:tcPr>
            <w:tcW w:w="1329" w:type="dxa"/>
            <w:vAlign w:val="top"/>
          </w:tcPr>
          <w:p w14:paraId="09B33B57">
            <w:pPr>
              <w:keepNext w:val="0"/>
              <w:keepLines w:val="0"/>
              <w:pageBreakBefore w:val="0"/>
              <w:widowControl w:val="0"/>
              <w:suppressLineNumbers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kern w:val="24"/>
                <w:sz w:val="20"/>
                <w:szCs w:val="20"/>
                <w:highlight w:val="none"/>
                <w:lang w:val="en-US" w:eastAsia="zh-CN"/>
              </w:rPr>
            </w:pPr>
            <w:r>
              <w:rPr>
                <w:rFonts w:hint="default" w:ascii="Times New Roman" w:hAnsi="Times New Roman" w:eastAsia="宋体" w:cs="Times New Roman"/>
                <w:b/>
                <w:bCs/>
                <w:sz w:val="20"/>
                <w:szCs w:val="20"/>
                <w:vertAlign w:val="baseline"/>
                <w:lang w:val="en-US" w:eastAsia="zh-CN"/>
              </w:rPr>
              <w:t>企业1</w:t>
            </w:r>
          </w:p>
        </w:tc>
        <w:tc>
          <w:tcPr>
            <w:tcW w:w="1580" w:type="dxa"/>
            <w:vAlign w:val="top"/>
          </w:tcPr>
          <w:p w14:paraId="23D09451">
            <w:pPr>
              <w:keepNext w:val="0"/>
              <w:keepLines w:val="0"/>
              <w:pageBreakBefore w:val="0"/>
              <w:widowControl w:val="0"/>
              <w:suppressLineNumbers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kern w:val="24"/>
                <w:sz w:val="20"/>
                <w:szCs w:val="20"/>
                <w:highlight w:val="none"/>
                <w:lang w:val="en-US" w:eastAsia="zh-CN"/>
              </w:rPr>
            </w:pPr>
            <w:r>
              <w:rPr>
                <w:rFonts w:hint="default" w:ascii="Times New Roman" w:hAnsi="Times New Roman" w:eastAsia="宋体" w:cs="Times New Roman"/>
                <w:b/>
                <w:bCs/>
                <w:sz w:val="20"/>
                <w:szCs w:val="20"/>
                <w:vertAlign w:val="baseline"/>
                <w:lang w:val="en-US" w:eastAsia="zh-CN"/>
              </w:rPr>
              <w:t>企业2</w:t>
            </w:r>
          </w:p>
        </w:tc>
        <w:tc>
          <w:tcPr>
            <w:tcW w:w="1578" w:type="dxa"/>
            <w:vAlign w:val="top"/>
          </w:tcPr>
          <w:p w14:paraId="0493BD4B">
            <w:pPr>
              <w:keepNext w:val="0"/>
              <w:keepLines w:val="0"/>
              <w:pageBreakBefore w:val="0"/>
              <w:widowControl w:val="0"/>
              <w:suppressLineNumbers w:val="0"/>
              <w:kinsoku/>
              <w:wordWrap/>
              <w:overflowPunct/>
              <w:topLinePunct w:val="0"/>
              <w:autoSpaceDE/>
              <w:autoSpaceDN/>
              <w:bidi w:val="0"/>
              <w:adjustRightInd/>
              <w:snapToGrid/>
              <w:spacing w:before="0" w:after="0" w:line="240" w:lineRule="auto"/>
              <w:ind w:left="0" w:leftChars="0" w:right="0" w:rightChars="0" w:firstLine="0" w:firstLineChars="0"/>
              <w:jc w:val="center"/>
              <w:textAlignment w:val="auto"/>
              <w:rPr>
                <w:rFonts w:hint="default" w:ascii="Times New Roman" w:hAnsi="Times New Roman" w:eastAsia="宋体" w:cs="Times New Roman"/>
                <w:kern w:val="24"/>
                <w:sz w:val="20"/>
                <w:szCs w:val="20"/>
                <w:highlight w:val="none"/>
                <w:lang w:val="en-US" w:eastAsia="zh-CN"/>
              </w:rPr>
            </w:pPr>
            <w:r>
              <w:rPr>
                <w:rFonts w:hint="default" w:ascii="Times New Roman" w:hAnsi="Times New Roman" w:eastAsia="宋体" w:cs="Times New Roman"/>
                <w:b/>
                <w:bCs/>
                <w:sz w:val="20"/>
                <w:szCs w:val="20"/>
                <w:vertAlign w:val="baseline"/>
                <w:lang w:val="en-US" w:eastAsia="zh-CN"/>
              </w:rPr>
              <w:t>企业3</w:t>
            </w:r>
          </w:p>
        </w:tc>
      </w:tr>
      <w:tr w14:paraId="7F78E41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trPr>
        <w:tc>
          <w:tcPr>
            <w:tcW w:w="3816" w:type="dxa"/>
            <w:gridSpan w:val="2"/>
            <w:shd w:val="clear" w:color="auto" w:fill="auto"/>
            <w:vAlign w:val="top"/>
          </w:tcPr>
          <w:p w14:paraId="46A29ADB">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after="0" w:line="240" w:lineRule="auto"/>
              <w:ind w:left="0" w:right="0" w:firstLine="0" w:firstLineChars="0"/>
              <w:jc w:val="left"/>
              <w:rPr>
                <w:rFonts w:hint="default" w:ascii="Times New Roman" w:hAnsi="Times New Roman" w:eastAsia="宋体" w:cs="Times New Roman"/>
                <w:kern w:val="24"/>
                <w:sz w:val="20"/>
                <w:szCs w:val="20"/>
                <w:highlight w:val="none"/>
                <w:lang w:val="en-US" w:eastAsia="zh-CN" w:bidi="ar-SA"/>
              </w:rPr>
            </w:pPr>
            <w:r>
              <w:rPr>
                <w:rFonts w:hint="default" w:ascii="Times New Roman" w:hAnsi="Times New Roman" w:eastAsia="宋体" w:cs="Times New Roman"/>
                <w:kern w:val="24"/>
                <w:sz w:val="20"/>
                <w:szCs w:val="20"/>
                <w:highlight w:val="none"/>
                <w:lang w:val="en-US" w:eastAsia="zh-CN"/>
              </w:rPr>
              <w:t>污水处理</w:t>
            </w:r>
            <w:r>
              <w:rPr>
                <w:rFonts w:hint="default" w:ascii="Times New Roman" w:hAnsi="Times New Roman" w:eastAsia="宋体" w:cs="Times New Roman"/>
                <w:kern w:val="24"/>
                <w:sz w:val="20"/>
                <w:szCs w:val="20"/>
                <w:highlight w:val="none"/>
              </w:rPr>
              <w:t>的甲烷</w:t>
            </w:r>
            <w:r>
              <w:rPr>
                <w:rFonts w:hint="default" w:ascii="Times New Roman" w:hAnsi="Times New Roman" w:eastAsia="宋体" w:cs="Times New Roman"/>
                <w:kern w:val="24"/>
                <w:sz w:val="20"/>
                <w:szCs w:val="20"/>
                <w:highlight w:val="none"/>
                <w:lang w:val="en-US" w:eastAsia="zh-CN"/>
              </w:rPr>
              <w:t>排放</w:t>
            </w:r>
            <w:r>
              <w:rPr>
                <w:rFonts w:hint="default" w:ascii="Times New Roman" w:hAnsi="Times New Roman" w:eastAsia="宋体" w:cs="Times New Roman"/>
                <w:kern w:val="24"/>
                <w:sz w:val="20"/>
                <w:szCs w:val="20"/>
                <w:highlight w:val="none"/>
              </w:rPr>
              <w:t>量</w:t>
            </w:r>
          </w:p>
        </w:tc>
        <w:tc>
          <w:tcPr>
            <w:tcW w:w="1329" w:type="dxa"/>
            <w:shd w:val="clear" w:color="auto" w:fill="auto"/>
            <w:vAlign w:val="top"/>
          </w:tcPr>
          <w:p w14:paraId="283752C5">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kern w:val="24"/>
                <w:sz w:val="20"/>
                <w:szCs w:val="20"/>
                <w:highlight w:val="none"/>
                <w:lang w:val="en-US" w:eastAsia="zh-CN" w:bidi="ar-SA"/>
              </w:rPr>
            </w:pPr>
            <w:r>
              <w:rPr>
                <w:rFonts w:hint="default" w:ascii="Times New Roman" w:hAnsi="Times New Roman" w:eastAsia="宋体" w:cs="Times New Roman"/>
                <w:kern w:val="24"/>
                <w:sz w:val="20"/>
                <w:szCs w:val="20"/>
              </w:rPr>
              <w:t>245</w:t>
            </w:r>
          </w:p>
        </w:tc>
        <w:tc>
          <w:tcPr>
            <w:tcW w:w="1580" w:type="dxa"/>
            <w:shd w:val="clear" w:color="auto" w:fill="auto"/>
            <w:vAlign w:val="top"/>
          </w:tcPr>
          <w:p w14:paraId="1BBB4ADD">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kern w:val="24"/>
                <w:sz w:val="20"/>
                <w:szCs w:val="20"/>
                <w:highlight w:val="none"/>
                <w:lang w:val="en-US" w:eastAsia="zh-CN" w:bidi="ar-SA"/>
              </w:rPr>
            </w:pPr>
            <w:r>
              <w:rPr>
                <w:rFonts w:hint="default" w:ascii="Times New Roman" w:hAnsi="Times New Roman" w:eastAsia="宋体" w:cs="Times New Roman"/>
                <w:color w:val="000000"/>
                <w:kern w:val="0"/>
                <w:sz w:val="20"/>
                <w:szCs w:val="20"/>
                <w:u w:val="none"/>
                <w:lang w:val="en-US" w:eastAsia="zh-CN" w:bidi="ar"/>
              </w:rPr>
              <w:t>132.2</w:t>
            </w:r>
          </w:p>
        </w:tc>
        <w:tc>
          <w:tcPr>
            <w:tcW w:w="1578" w:type="dxa"/>
            <w:shd w:val="clear" w:color="auto" w:fill="auto"/>
            <w:vAlign w:val="top"/>
          </w:tcPr>
          <w:p w14:paraId="5C5C9392">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kern w:val="24"/>
                <w:sz w:val="20"/>
                <w:szCs w:val="20"/>
                <w:highlight w:val="none"/>
                <w:lang w:val="en-US" w:eastAsia="zh-CN" w:bidi="ar-SA"/>
              </w:rPr>
            </w:pPr>
            <w:r>
              <w:rPr>
                <w:rFonts w:hint="eastAsia" w:eastAsia="宋体" w:cs="Times New Roman"/>
                <w:kern w:val="24"/>
                <w:sz w:val="20"/>
                <w:szCs w:val="20"/>
                <w:highlight w:val="none"/>
                <w:lang w:val="en-US" w:eastAsia="zh-CN" w:bidi="ar-SA"/>
              </w:rPr>
              <w:t>761.6</w:t>
            </w:r>
          </w:p>
        </w:tc>
      </w:tr>
      <w:tr w14:paraId="29444E1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3816" w:type="dxa"/>
            <w:gridSpan w:val="2"/>
          </w:tcPr>
          <w:p w14:paraId="26B9DFA3">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after="0" w:line="240" w:lineRule="auto"/>
              <w:ind w:left="0" w:leftChars="0" w:right="0" w:firstLine="0" w:firstLineChars="0"/>
              <w:jc w:val="left"/>
              <w:rPr>
                <w:rFonts w:hint="default" w:ascii="Times New Roman" w:hAnsi="Times New Roman" w:eastAsia="宋体" w:cs="Times New Roman"/>
                <w:kern w:val="24"/>
                <w:sz w:val="20"/>
                <w:szCs w:val="20"/>
                <w:highlight w:val="none"/>
                <w:lang w:val="en-US" w:eastAsia="zh-CN"/>
              </w:rPr>
            </w:pPr>
            <w:r>
              <w:rPr>
                <w:rFonts w:hint="default" w:ascii="Times New Roman" w:hAnsi="Times New Roman" w:eastAsia="宋体" w:cs="Times New Roman"/>
                <w:kern w:val="24"/>
                <w:sz w:val="20"/>
                <w:szCs w:val="20"/>
                <w:highlight w:val="none"/>
                <w:lang w:val="en-US" w:eastAsia="zh-CN"/>
              </w:rPr>
              <w:t>污水处理</w:t>
            </w:r>
            <w:r>
              <w:rPr>
                <w:rFonts w:hint="default" w:ascii="Times New Roman" w:hAnsi="Times New Roman" w:eastAsia="宋体" w:cs="Times New Roman"/>
                <w:kern w:val="24"/>
                <w:sz w:val="20"/>
                <w:szCs w:val="20"/>
                <w:highlight w:val="none"/>
              </w:rPr>
              <w:t>的</w:t>
            </w:r>
            <w:r>
              <w:rPr>
                <w:rFonts w:hint="default" w:ascii="Times New Roman" w:hAnsi="Times New Roman" w:eastAsia="宋体" w:cs="Times New Roman"/>
                <w:kern w:val="24"/>
                <w:sz w:val="20"/>
                <w:szCs w:val="20"/>
                <w:highlight w:val="none"/>
                <w:lang w:val="en-US" w:eastAsia="zh-CN"/>
              </w:rPr>
              <w:t>氧化亚氮排放</w:t>
            </w:r>
            <w:r>
              <w:rPr>
                <w:rFonts w:hint="default" w:ascii="Times New Roman" w:hAnsi="Times New Roman" w:eastAsia="宋体" w:cs="Times New Roman"/>
                <w:kern w:val="24"/>
                <w:sz w:val="20"/>
                <w:szCs w:val="20"/>
                <w:highlight w:val="none"/>
              </w:rPr>
              <w:t>量</w:t>
            </w:r>
          </w:p>
        </w:tc>
        <w:tc>
          <w:tcPr>
            <w:tcW w:w="1329" w:type="dxa"/>
            <w:vAlign w:val="top"/>
          </w:tcPr>
          <w:p w14:paraId="43C52F88">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kern w:val="24"/>
                <w:sz w:val="20"/>
                <w:szCs w:val="20"/>
                <w:highlight w:val="none"/>
                <w:lang w:val="en-US" w:eastAsia="zh-CN"/>
              </w:rPr>
            </w:pPr>
            <w:r>
              <w:rPr>
                <w:rFonts w:hint="eastAsia" w:eastAsia="宋体" w:cs="Times New Roman"/>
                <w:kern w:val="24"/>
                <w:sz w:val="20"/>
                <w:szCs w:val="20"/>
                <w:lang w:val="en-US" w:eastAsia="zh-CN"/>
              </w:rPr>
              <w:t>53</w:t>
            </w:r>
          </w:p>
        </w:tc>
        <w:tc>
          <w:tcPr>
            <w:tcW w:w="1580" w:type="dxa"/>
            <w:vAlign w:val="top"/>
          </w:tcPr>
          <w:p w14:paraId="7670DA6F">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kern w:val="24"/>
                <w:sz w:val="20"/>
                <w:szCs w:val="20"/>
                <w:highlight w:val="none"/>
              </w:rPr>
            </w:pPr>
            <w:r>
              <w:rPr>
                <w:rFonts w:hint="default" w:ascii="Times New Roman" w:hAnsi="Times New Roman" w:eastAsia="宋体" w:cs="Times New Roman"/>
                <w:color w:val="000000"/>
                <w:kern w:val="0"/>
                <w:sz w:val="20"/>
                <w:szCs w:val="20"/>
                <w:u w:val="none"/>
                <w:lang w:val="en-US" w:eastAsia="zh-CN" w:bidi="ar"/>
              </w:rPr>
              <w:t>21.2</w:t>
            </w:r>
          </w:p>
        </w:tc>
        <w:tc>
          <w:tcPr>
            <w:tcW w:w="1578" w:type="dxa"/>
          </w:tcPr>
          <w:p w14:paraId="14789328">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kern w:val="24"/>
                <w:sz w:val="20"/>
                <w:szCs w:val="20"/>
                <w:highlight w:val="none"/>
                <w:lang w:val="en-US" w:eastAsia="zh-CN"/>
              </w:rPr>
            </w:pPr>
            <w:r>
              <w:rPr>
                <w:rFonts w:hint="eastAsia" w:eastAsia="宋体" w:cs="Times New Roman"/>
                <w:kern w:val="24"/>
                <w:sz w:val="20"/>
                <w:szCs w:val="20"/>
                <w:highlight w:val="none"/>
                <w:lang w:val="en-US" w:eastAsia="zh-CN"/>
              </w:rPr>
              <w:t>100.7</w:t>
            </w:r>
          </w:p>
        </w:tc>
      </w:tr>
      <w:tr w14:paraId="6F1F9A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trPr>
        <w:tc>
          <w:tcPr>
            <w:tcW w:w="3816" w:type="dxa"/>
            <w:gridSpan w:val="2"/>
            <w:vAlign w:val="top"/>
          </w:tcPr>
          <w:p w14:paraId="6CE5B62B">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after="0" w:line="240" w:lineRule="auto"/>
              <w:ind w:left="0" w:leftChars="0" w:right="0" w:firstLine="0" w:firstLineChars="0"/>
              <w:jc w:val="left"/>
              <w:rPr>
                <w:rFonts w:hint="default" w:ascii="Times New Roman" w:hAnsi="Times New Roman" w:eastAsia="宋体" w:cs="Times New Roman"/>
                <w:kern w:val="24"/>
                <w:sz w:val="20"/>
                <w:szCs w:val="20"/>
                <w:highlight w:val="none"/>
              </w:rPr>
            </w:pPr>
            <w:r>
              <w:rPr>
                <w:rFonts w:hint="default" w:ascii="Times New Roman" w:hAnsi="Times New Roman" w:eastAsia="宋体" w:cs="Times New Roman"/>
                <w:kern w:val="24"/>
                <w:sz w:val="20"/>
                <w:szCs w:val="20"/>
                <w:highlight w:val="none"/>
                <w:lang w:val="en-US" w:eastAsia="zh-CN"/>
              </w:rPr>
              <w:t>污泥处理</w:t>
            </w:r>
            <w:r>
              <w:rPr>
                <w:rFonts w:hint="default" w:ascii="Times New Roman" w:hAnsi="Times New Roman" w:eastAsia="宋体" w:cs="Times New Roman"/>
                <w:kern w:val="24"/>
                <w:sz w:val="20"/>
                <w:szCs w:val="20"/>
                <w:highlight w:val="none"/>
              </w:rPr>
              <w:t>的甲烷</w:t>
            </w:r>
            <w:r>
              <w:rPr>
                <w:rFonts w:hint="default" w:ascii="Times New Roman" w:hAnsi="Times New Roman" w:eastAsia="宋体" w:cs="Times New Roman"/>
                <w:kern w:val="24"/>
                <w:sz w:val="20"/>
                <w:szCs w:val="20"/>
                <w:highlight w:val="none"/>
                <w:lang w:val="en-US" w:eastAsia="zh-CN"/>
              </w:rPr>
              <w:t>排放</w:t>
            </w:r>
            <w:r>
              <w:rPr>
                <w:rFonts w:hint="default" w:ascii="Times New Roman" w:hAnsi="Times New Roman" w:eastAsia="宋体" w:cs="Times New Roman"/>
                <w:kern w:val="24"/>
                <w:sz w:val="20"/>
                <w:szCs w:val="20"/>
                <w:highlight w:val="none"/>
              </w:rPr>
              <w:t>量</w:t>
            </w:r>
          </w:p>
        </w:tc>
        <w:tc>
          <w:tcPr>
            <w:tcW w:w="1329" w:type="dxa"/>
            <w:vAlign w:val="top"/>
          </w:tcPr>
          <w:p w14:paraId="438A7560">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kern w:val="24"/>
                <w:sz w:val="20"/>
                <w:szCs w:val="20"/>
                <w:lang w:val="en-US" w:eastAsia="zh-CN"/>
              </w:rPr>
            </w:pPr>
            <w:r>
              <w:rPr>
                <w:rFonts w:hint="eastAsia" w:eastAsia="宋体" w:cs="Times New Roman"/>
                <w:kern w:val="24"/>
                <w:sz w:val="20"/>
                <w:szCs w:val="20"/>
                <w:lang w:val="en-US" w:eastAsia="zh-CN"/>
              </w:rPr>
              <w:t>外运</w:t>
            </w:r>
          </w:p>
        </w:tc>
        <w:tc>
          <w:tcPr>
            <w:tcW w:w="1580" w:type="dxa"/>
          </w:tcPr>
          <w:p w14:paraId="02D66C2E">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kern w:val="24"/>
                <w:sz w:val="20"/>
                <w:szCs w:val="20"/>
              </w:rPr>
            </w:pPr>
            <w:r>
              <w:rPr>
                <w:rFonts w:hint="eastAsia" w:eastAsia="宋体" w:cs="Times New Roman"/>
                <w:kern w:val="24"/>
                <w:sz w:val="20"/>
                <w:szCs w:val="20"/>
                <w:lang w:val="en-US" w:eastAsia="zh-CN"/>
              </w:rPr>
              <w:t>外运</w:t>
            </w:r>
          </w:p>
        </w:tc>
        <w:tc>
          <w:tcPr>
            <w:tcW w:w="1578" w:type="dxa"/>
          </w:tcPr>
          <w:p w14:paraId="538E2178">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kern w:val="24"/>
                <w:sz w:val="20"/>
                <w:szCs w:val="20"/>
                <w:highlight w:val="none"/>
                <w:lang w:val="en-US" w:eastAsia="zh-CN"/>
              </w:rPr>
            </w:pPr>
            <w:r>
              <w:rPr>
                <w:rFonts w:hint="eastAsia" w:eastAsia="宋体" w:cs="Times New Roman"/>
                <w:kern w:val="24"/>
                <w:sz w:val="20"/>
                <w:szCs w:val="20"/>
                <w:highlight w:val="none"/>
                <w:lang w:val="en-US" w:eastAsia="zh-CN"/>
              </w:rPr>
              <w:t>0.0075</w:t>
            </w:r>
          </w:p>
        </w:tc>
      </w:tr>
      <w:tr w14:paraId="4E0BD04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3816" w:type="dxa"/>
            <w:gridSpan w:val="2"/>
            <w:vAlign w:val="top"/>
          </w:tcPr>
          <w:p w14:paraId="0828FCE2">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after="0" w:line="240" w:lineRule="auto"/>
              <w:ind w:left="0" w:leftChars="0" w:right="0" w:firstLine="0" w:firstLineChars="0"/>
              <w:jc w:val="left"/>
              <w:rPr>
                <w:rFonts w:hint="default" w:ascii="Times New Roman" w:hAnsi="Times New Roman" w:eastAsia="宋体" w:cs="Times New Roman"/>
                <w:kern w:val="24"/>
                <w:sz w:val="20"/>
                <w:szCs w:val="20"/>
                <w:highlight w:val="none"/>
              </w:rPr>
            </w:pPr>
            <w:r>
              <w:rPr>
                <w:rFonts w:hint="default" w:ascii="Times New Roman" w:hAnsi="Times New Roman" w:eastAsia="宋体" w:cs="Times New Roman"/>
                <w:kern w:val="24"/>
                <w:sz w:val="20"/>
                <w:szCs w:val="20"/>
                <w:highlight w:val="none"/>
                <w:lang w:val="en-US" w:eastAsia="zh-CN"/>
              </w:rPr>
              <w:t>污泥处理</w:t>
            </w:r>
            <w:r>
              <w:rPr>
                <w:rFonts w:hint="default" w:ascii="Times New Roman" w:hAnsi="Times New Roman" w:eastAsia="宋体" w:cs="Times New Roman"/>
                <w:kern w:val="24"/>
                <w:sz w:val="20"/>
                <w:szCs w:val="20"/>
                <w:highlight w:val="none"/>
              </w:rPr>
              <w:t>的</w:t>
            </w:r>
            <w:r>
              <w:rPr>
                <w:rFonts w:hint="default" w:ascii="Times New Roman" w:hAnsi="Times New Roman" w:eastAsia="宋体" w:cs="Times New Roman"/>
                <w:kern w:val="24"/>
                <w:sz w:val="20"/>
                <w:szCs w:val="20"/>
                <w:highlight w:val="none"/>
                <w:lang w:val="en-US" w:eastAsia="zh-CN"/>
              </w:rPr>
              <w:t>氧化亚氮排放</w:t>
            </w:r>
            <w:r>
              <w:rPr>
                <w:rFonts w:hint="default" w:ascii="Times New Roman" w:hAnsi="Times New Roman" w:eastAsia="宋体" w:cs="Times New Roman"/>
                <w:kern w:val="24"/>
                <w:sz w:val="20"/>
                <w:szCs w:val="20"/>
                <w:highlight w:val="none"/>
              </w:rPr>
              <w:t>量</w:t>
            </w:r>
          </w:p>
        </w:tc>
        <w:tc>
          <w:tcPr>
            <w:tcW w:w="1329" w:type="dxa"/>
            <w:vAlign w:val="top"/>
          </w:tcPr>
          <w:p w14:paraId="277A1EEE">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kern w:val="24"/>
                <w:sz w:val="20"/>
                <w:szCs w:val="20"/>
              </w:rPr>
            </w:pPr>
            <w:r>
              <w:rPr>
                <w:rFonts w:hint="eastAsia" w:eastAsia="宋体" w:cs="Times New Roman"/>
                <w:kern w:val="24"/>
                <w:sz w:val="20"/>
                <w:szCs w:val="20"/>
                <w:lang w:val="en-US" w:eastAsia="zh-CN"/>
              </w:rPr>
              <w:t>外运</w:t>
            </w:r>
          </w:p>
        </w:tc>
        <w:tc>
          <w:tcPr>
            <w:tcW w:w="1580" w:type="dxa"/>
          </w:tcPr>
          <w:p w14:paraId="3F351039">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kern w:val="24"/>
                <w:sz w:val="20"/>
                <w:szCs w:val="20"/>
              </w:rPr>
            </w:pPr>
            <w:r>
              <w:rPr>
                <w:rFonts w:hint="eastAsia" w:eastAsia="宋体" w:cs="Times New Roman"/>
                <w:kern w:val="24"/>
                <w:sz w:val="20"/>
                <w:szCs w:val="20"/>
                <w:lang w:val="en-US" w:eastAsia="zh-CN"/>
              </w:rPr>
              <w:t>外运</w:t>
            </w:r>
          </w:p>
        </w:tc>
        <w:tc>
          <w:tcPr>
            <w:tcW w:w="1578" w:type="dxa"/>
          </w:tcPr>
          <w:p w14:paraId="438FF518">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kern w:val="24"/>
                <w:sz w:val="20"/>
                <w:szCs w:val="20"/>
                <w:highlight w:val="none"/>
                <w:lang w:val="en-US" w:eastAsia="zh-CN"/>
              </w:rPr>
            </w:pPr>
            <w:r>
              <w:rPr>
                <w:rFonts w:hint="eastAsia" w:eastAsia="宋体" w:cs="Times New Roman"/>
                <w:kern w:val="24"/>
                <w:sz w:val="20"/>
                <w:szCs w:val="20"/>
                <w:highlight w:val="none"/>
                <w:lang w:val="en-US" w:eastAsia="zh-CN"/>
              </w:rPr>
              <w:t>2.01</w:t>
            </w:r>
          </w:p>
        </w:tc>
      </w:tr>
      <w:tr w14:paraId="2004614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trPr>
        <w:tc>
          <w:tcPr>
            <w:tcW w:w="3816" w:type="dxa"/>
            <w:gridSpan w:val="2"/>
            <w:shd w:val="clear" w:color="auto" w:fill="auto"/>
            <w:vAlign w:val="top"/>
          </w:tcPr>
          <w:p w14:paraId="0BC3FDDD">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after="0" w:line="240" w:lineRule="auto"/>
              <w:ind w:left="0" w:leftChars="0" w:right="0" w:firstLine="0" w:firstLineChars="0"/>
              <w:jc w:val="left"/>
              <w:rPr>
                <w:rFonts w:hint="default" w:ascii="Times New Roman" w:hAnsi="Times New Roman" w:eastAsia="宋体" w:cs="Times New Roman"/>
                <w:kern w:val="24"/>
                <w:sz w:val="20"/>
                <w:szCs w:val="20"/>
                <w:highlight w:val="none"/>
                <w:lang w:val="en-US" w:eastAsia="zh-CN"/>
              </w:rPr>
            </w:pPr>
            <w:r>
              <w:rPr>
                <w:rFonts w:hint="default" w:ascii="Times New Roman" w:hAnsi="Times New Roman" w:eastAsia="宋体" w:cs="Times New Roman"/>
                <w:kern w:val="24"/>
                <w:sz w:val="20"/>
                <w:szCs w:val="20"/>
                <w:highlight w:val="none"/>
                <w:lang w:val="en-US" w:eastAsia="zh-CN"/>
              </w:rPr>
              <w:t>药剂使用导致</w:t>
            </w:r>
            <w:r>
              <w:rPr>
                <w:rFonts w:hint="default" w:ascii="Times New Roman" w:hAnsi="Times New Roman" w:eastAsia="宋体" w:cs="Times New Roman"/>
                <w:kern w:val="24"/>
                <w:sz w:val="20"/>
                <w:szCs w:val="20"/>
                <w:highlight w:val="none"/>
              </w:rPr>
              <w:t>的排放</w:t>
            </w:r>
            <w:r>
              <w:rPr>
                <w:rFonts w:hint="default" w:ascii="Times New Roman" w:hAnsi="Times New Roman" w:eastAsia="宋体" w:cs="Times New Roman"/>
                <w:kern w:val="24"/>
                <w:sz w:val="20"/>
                <w:szCs w:val="20"/>
                <w:highlight w:val="none"/>
                <w:lang w:val="en-US" w:eastAsia="zh-CN"/>
              </w:rPr>
              <w:t>量</w:t>
            </w:r>
          </w:p>
        </w:tc>
        <w:tc>
          <w:tcPr>
            <w:tcW w:w="1329" w:type="dxa"/>
            <w:shd w:val="clear" w:color="auto" w:fill="auto"/>
            <w:vAlign w:val="top"/>
          </w:tcPr>
          <w:p w14:paraId="7E665610">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eastAsia" w:ascii="Times New Roman" w:hAnsi="Times New Roman" w:eastAsia="宋体" w:cs="Times New Roman"/>
                <w:kern w:val="24"/>
                <w:sz w:val="20"/>
                <w:szCs w:val="20"/>
                <w:lang w:val="en-US" w:eastAsia="zh-CN"/>
              </w:rPr>
            </w:pPr>
            <w:r>
              <w:rPr>
                <w:rFonts w:hint="eastAsia" w:eastAsia="宋体" w:cs="Times New Roman"/>
                <w:kern w:val="24"/>
                <w:sz w:val="20"/>
                <w:szCs w:val="20"/>
                <w:lang w:val="en-US" w:eastAsia="zh-CN"/>
              </w:rPr>
              <w:t>606</w:t>
            </w:r>
            <w:r>
              <w:rPr>
                <w:rFonts w:hint="eastAsia" w:ascii="Times New Roman" w:hAnsi="Times New Roman" w:eastAsia="宋体" w:cs="Times New Roman"/>
                <w:kern w:val="24"/>
                <w:sz w:val="20"/>
                <w:szCs w:val="20"/>
                <w:vertAlign w:val="superscript"/>
                <w:lang w:val="en-US" w:eastAsia="zh-CN"/>
              </w:rPr>
              <w:t>1</w:t>
            </w:r>
          </w:p>
        </w:tc>
        <w:tc>
          <w:tcPr>
            <w:tcW w:w="1580" w:type="dxa"/>
          </w:tcPr>
          <w:p w14:paraId="00B5AA48">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kern w:val="24"/>
                <w:sz w:val="20"/>
                <w:szCs w:val="20"/>
                <w:lang w:val="en-US" w:eastAsia="zh-CN"/>
              </w:rPr>
            </w:pPr>
            <w:r>
              <w:rPr>
                <w:rFonts w:hint="default" w:ascii="Times New Roman" w:hAnsi="Times New Roman" w:eastAsia="宋体" w:cs="Times New Roman"/>
                <w:kern w:val="24"/>
                <w:sz w:val="20"/>
                <w:szCs w:val="20"/>
                <w:lang w:val="en-US" w:eastAsia="zh-CN"/>
              </w:rPr>
              <w:t>11</w:t>
            </w:r>
            <w:r>
              <w:rPr>
                <w:rFonts w:hint="eastAsia" w:eastAsia="宋体" w:cs="Times New Roman"/>
                <w:kern w:val="24"/>
                <w:sz w:val="20"/>
                <w:szCs w:val="20"/>
                <w:lang w:val="en-US" w:eastAsia="zh-CN"/>
              </w:rPr>
              <w:t>57</w:t>
            </w:r>
          </w:p>
        </w:tc>
        <w:tc>
          <w:tcPr>
            <w:tcW w:w="1578" w:type="dxa"/>
          </w:tcPr>
          <w:p w14:paraId="3ECA9777">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kern w:val="24"/>
                <w:sz w:val="20"/>
                <w:szCs w:val="20"/>
                <w:highlight w:val="none"/>
                <w:lang w:val="en-US" w:eastAsia="zh-CN"/>
              </w:rPr>
            </w:pPr>
            <w:r>
              <w:rPr>
                <w:rFonts w:hint="eastAsia" w:eastAsia="宋体" w:cs="Times New Roman"/>
                <w:kern w:val="24"/>
                <w:sz w:val="20"/>
                <w:szCs w:val="20"/>
                <w:highlight w:val="none"/>
                <w:lang w:val="en-US" w:eastAsia="zh-CN"/>
              </w:rPr>
              <w:t>1664</w:t>
            </w:r>
            <w:r>
              <w:rPr>
                <w:rFonts w:hint="eastAsia" w:ascii="Times New Roman" w:hAnsi="Times New Roman" w:eastAsia="宋体" w:cs="Times New Roman"/>
                <w:kern w:val="24"/>
                <w:sz w:val="20"/>
                <w:szCs w:val="20"/>
                <w:vertAlign w:val="superscript"/>
                <w:lang w:val="en-US" w:eastAsia="zh-CN"/>
              </w:rPr>
              <w:t>1</w:t>
            </w:r>
          </w:p>
        </w:tc>
      </w:tr>
      <w:tr w14:paraId="334533A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trPr>
        <w:tc>
          <w:tcPr>
            <w:tcW w:w="3816" w:type="dxa"/>
            <w:gridSpan w:val="2"/>
            <w:shd w:val="clear" w:color="auto" w:fill="auto"/>
            <w:vAlign w:val="top"/>
          </w:tcPr>
          <w:p w14:paraId="4543E6A7">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after="0" w:line="240" w:lineRule="auto"/>
              <w:ind w:left="0" w:leftChars="0" w:right="0" w:firstLine="0" w:firstLineChars="0"/>
              <w:jc w:val="left"/>
              <w:rPr>
                <w:rFonts w:hint="default" w:ascii="Times New Roman" w:hAnsi="Times New Roman" w:eastAsia="宋体" w:cs="Times New Roman"/>
                <w:kern w:val="24"/>
                <w:sz w:val="20"/>
                <w:szCs w:val="20"/>
                <w:highlight w:val="none"/>
                <w:lang w:val="en-US" w:eastAsia="zh-CN" w:bidi="ar-SA"/>
              </w:rPr>
            </w:pPr>
            <w:r>
              <w:rPr>
                <w:rFonts w:hint="default" w:ascii="Times New Roman" w:hAnsi="Times New Roman" w:eastAsia="宋体" w:cs="Times New Roman"/>
                <w:kern w:val="24"/>
                <w:sz w:val="20"/>
                <w:szCs w:val="20"/>
                <w:highlight w:val="none"/>
              </w:rPr>
              <w:t>购入电力产生的排放</w:t>
            </w:r>
          </w:p>
        </w:tc>
        <w:tc>
          <w:tcPr>
            <w:tcW w:w="1329" w:type="dxa"/>
            <w:vAlign w:val="top"/>
          </w:tcPr>
          <w:p w14:paraId="0A54A766">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kern w:val="24"/>
                <w:sz w:val="20"/>
                <w:szCs w:val="20"/>
                <w:lang w:val="en-US"/>
              </w:rPr>
            </w:pPr>
            <w:r>
              <w:rPr>
                <w:rFonts w:hint="default" w:ascii="Times New Roman" w:hAnsi="Times New Roman" w:eastAsia="宋体" w:cs="Times New Roman"/>
                <w:kern w:val="24"/>
                <w:sz w:val="20"/>
                <w:szCs w:val="20"/>
                <w:lang w:val="en-US" w:eastAsia="zh-CN"/>
              </w:rPr>
              <w:t>11</w:t>
            </w:r>
            <w:r>
              <w:rPr>
                <w:rFonts w:hint="eastAsia" w:eastAsia="宋体" w:cs="Times New Roman"/>
                <w:kern w:val="24"/>
                <w:sz w:val="20"/>
                <w:szCs w:val="20"/>
                <w:lang w:val="en-US" w:eastAsia="zh-CN"/>
              </w:rPr>
              <w:t>02</w:t>
            </w:r>
          </w:p>
        </w:tc>
        <w:tc>
          <w:tcPr>
            <w:tcW w:w="1580" w:type="dxa"/>
            <w:shd w:val="clear" w:color="auto" w:fill="auto"/>
            <w:vAlign w:val="top"/>
          </w:tcPr>
          <w:p w14:paraId="490C3498">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kern w:val="24"/>
                <w:sz w:val="20"/>
                <w:szCs w:val="20"/>
                <w:lang w:val="en-US" w:eastAsia="zh-CN"/>
              </w:rPr>
            </w:pPr>
            <w:r>
              <w:rPr>
                <w:rFonts w:hint="eastAsia" w:eastAsia="宋体" w:cs="Times New Roman"/>
                <w:kern w:val="24"/>
                <w:sz w:val="20"/>
                <w:szCs w:val="20"/>
                <w:lang w:val="en-US" w:eastAsia="zh-CN"/>
              </w:rPr>
              <w:t>871.4</w:t>
            </w:r>
          </w:p>
        </w:tc>
        <w:tc>
          <w:tcPr>
            <w:tcW w:w="1578" w:type="dxa"/>
          </w:tcPr>
          <w:p w14:paraId="312DB88E">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kern w:val="24"/>
                <w:sz w:val="20"/>
                <w:szCs w:val="20"/>
                <w:highlight w:val="none"/>
                <w:lang w:val="en-US" w:eastAsia="zh-CN"/>
              </w:rPr>
            </w:pPr>
            <w:r>
              <w:rPr>
                <w:rFonts w:hint="eastAsia" w:eastAsia="宋体" w:cs="Times New Roman"/>
                <w:kern w:val="24"/>
                <w:sz w:val="20"/>
                <w:szCs w:val="20"/>
                <w:highlight w:val="none"/>
                <w:lang w:val="en-US" w:eastAsia="zh-CN"/>
              </w:rPr>
              <w:t>285.1</w:t>
            </w:r>
          </w:p>
        </w:tc>
      </w:tr>
      <w:tr w14:paraId="0230DCF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3816" w:type="dxa"/>
            <w:gridSpan w:val="2"/>
            <w:vAlign w:val="top"/>
          </w:tcPr>
          <w:p w14:paraId="32EB7C1C">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after="0" w:line="240" w:lineRule="auto"/>
              <w:ind w:left="0" w:leftChars="0" w:right="0" w:firstLine="0" w:firstLineChars="0"/>
              <w:jc w:val="left"/>
              <w:rPr>
                <w:rFonts w:hint="default" w:ascii="Times New Roman" w:hAnsi="Times New Roman" w:eastAsia="宋体" w:cs="Times New Roman"/>
                <w:kern w:val="24"/>
                <w:sz w:val="20"/>
                <w:szCs w:val="20"/>
                <w:highlight w:val="none"/>
              </w:rPr>
            </w:pPr>
            <w:r>
              <w:rPr>
                <w:rFonts w:hint="default" w:ascii="Times New Roman" w:hAnsi="Times New Roman" w:eastAsia="宋体" w:cs="Times New Roman"/>
                <w:kern w:val="24"/>
                <w:sz w:val="20"/>
                <w:szCs w:val="20"/>
                <w:highlight w:val="none"/>
              </w:rPr>
              <w:t>输出电力产生的排放</w:t>
            </w:r>
          </w:p>
        </w:tc>
        <w:tc>
          <w:tcPr>
            <w:tcW w:w="1329" w:type="dxa"/>
            <w:vAlign w:val="top"/>
          </w:tcPr>
          <w:p w14:paraId="0F051325">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kern w:val="24"/>
                <w:sz w:val="20"/>
                <w:szCs w:val="20"/>
              </w:rPr>
            </w:pPr>
            <w:r>
              <w:rPr>
                <w:rFonts w:hint="default" w:ascii="Times New Roman" w:hAnsi="Times New Roman" w:eastAsia="宋体" w:cs="Times New Roman"/>
                <w:kern w:val="24"/>
                <w:sz w:val="20"/>
                <w:szCs w:val="20"/>
                <w:lang w:val="en-US" w:eastAsia="zh-CN"/>
              </w:rPr>
              <w:t>268.0</w:t>
            </w:r>
          </w:p>
        </w:tc>
        <w:tc>
          <w:tcPr>
            <w:tcW w:w="1580" w:type="dxa"/>
            <w:shd w:val="clear" w:color="auto" w:fill="auto"/>
            <w:vAlign w:val="top"/>
          </w:tcPr>
          <w:p w14:paraId="28E6C1A0">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kern w:val="24"/>
                <w:sz w:val="20"/>
                <w:szCs w:val="20"/>
                <w:lang w:val="en-US" w:eastAsia="zh-CN"/>
              </w:rPr>
            </w:pPr>
            <w:r>
              <w:rPr>
                <w:rFonts w:hint="eastAsia" w:eastAsia="宋体" w:cs="Times New Roman"/>
                <w:kern w:val="24"/>
                <w:sz w:val="20"/>
                <w:szCs w:val="20"/>
                <w:lang w:val="en-US" w:eastAsia="zh-CN"/>
              </w:rPr>
              <w:t>无</w:t>
            </w:r>
          </w:p>
        </w:tc>
        <w:tc>
          <w:tcPr>
            <w:tcW w:w="1578" w:type="dxa"/>
          </w:tcPr>
          <w:p w14:paraId="61D1AC72">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kern w:val="24"/>
                <w:sz w:val="20"/>
                <w:szCs w:val="20"/>
                <w:highlight w:val="none"/>
              </w:rPr>
            </w:pPr>
            <w:r>
              <w:rPr>
                <w:rFonts w:hint="eastAsia" w:eastAsia="宋体" w:cs="Times New Roman"/>
                <w:kern w:val="24"/>
                <w:sz w:val="20"/>
                <w:szCs w:val="20"/>
                <w:lang w:val="en-US" w:eastAsia="zh-CN"/>
              </w:rPr>
              <w:t>无</w:t>
            </w:r>
          </w:p>
        </w:tc>
      </w:tr>
      <w:tr w14:paraId="7CB4CB4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rPr>
        <w:tc>
          <w:tcPr>
            <w:tcW w:w="3816" w:type="dxa"/>
            <w:gridSpan w:val="2"/>
            <w:vAlign w:val="top"/>
          </w:tcPr>
          <w:p w14:paraId="5CEABB56">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after="0" w:line="240" w:lineRule="auto"/>
              <w:ind w:left="0" w:leftChars="0" w:right="0" w:firstLine="0" w:firstLineChars="0"/>
              <w:jc w:val="left"/>
              <w:rPr>
                <w:rFonts w:hint="default" w:ascii="Times New Roman" w:hAnsi="Times New Roman" w:eastAsia="宋体" w:cs="Times New Roman"/>
                <w:kern w:val="24"/>
                <w:sz w:val="20"/>
                <w:szCs w:val="20"/>
                <w:highlight w:val="none"/>
              </w:rPr>
            </w:pPr>
            <w:r>
              <w:rPr>
                <w:rFonts w:hint="default" w:ascii="Times New Roman" w:hAnsi="Times New Roman" w:eastAsia="宋体" w:cs="Times New Roman"/>
                <w:kern w:val="24"/>
                <w:sz w:val="20"/>
                <w:szCs w:val="20"/>
                <w:highlight w:val="none"/>
              </w:rPr>
              <w:t>购入热力产生的排放</w:t>
            </w:r>
          </w:p>
        </w:tc>
        <w:tc>
          <w:tcPr>
            <w:tcW w:w="1329" w:type="dxa"/>
            <w:vAlign w:val="top"/>
          </w:tcPr>
          <w:p w14:paraId="3421AE7B">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kern w:val="24"/>
                <w:sz w:val="20"/>
                <w:szCs w:val="20"/>
              </w:rPr>
            </w:pPr>
            <w:r>
              <w:rPr>
                <w:rFonts w:hint="eastAsia" w:eastAsia="宋体" w:cs="Times New Roman"/>
                <w:kern w:val="24"/>
                <w:sz w:val="20"/>
                <w:szCs w:val="20"/>
                <w:lang w:val="en-US" w:eastAsia="zh-CN"/>
              </w:rPr>
              <w:t>无</w:t>
            </w:r>
          </w:p>
        </w:tc>
        <w:tc>
          <w:tcPr>
            <w:tcW w:w="1580" w:type="dxa"/>
          </w:tcPr>
          <w:p w14:paraId="0916F905">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400" w:firstLineChars="200"/>
              <w:jc w:val="both"/>
              <w:rPr>
                <w:rFonts w:hint="default" w:ascii="Times New Roman" w:hAnsi="Times New Roman" w:eastAsia="宋体" w:cs="Times New Roman"/>
                <w:kern w:val="24"/>
                <w:sz w:val="20"/>
                <w:szCs w:val="20"/>
              </w:rPr>
            </w:pPr>
            <w:r>
              <w:rPr>
                <w:rFonts w:hint="eastAsia" w:eastAsia="宋体" w:cs="Times New Roman"/>
                <w:kern w:val="24"/>
                <w:sz w:val="20"/>
                <w:szCs w:val="20"/>
                <w:lang w:val="en-US" w:eastAsia="zh-CN"/>
              </w:rPr>
              <w:t>无</w:t>
            </w:r>
          </w:p>
        </w:tc>
        <w:tc>
          <w:tcPr>
            <w:tcW w:w="1578" w:type="dxa"/>
          </w:tcPr>
          <w:p w14:paraId="161C2414">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400" w:firstLineChars="200"/>
              <w:jc w:val="both"/>
              <w:rPr>
                <w:rFonts w:hint="default" w:ascii="Times New Roman" w:hAnsi="Times New Roman" w:eastAsia="宋体" w:cs="Times New Roman"/>
                <w:kern w:val="24"/>
                <w:sz w:val="20"/>
                <w:szCs w:val="20"/>
                <w:highlight w:val="none"/>
              </w:rPr>
            </w:pPr>
            <w:r>
              <w:rPr>
                <w:rFonts w:hint="eastAsia" w:eastAsia="宋体" w:cs="Times New Roman"/>
                <w:kern w:val="24"/>
                <w:sz w:val="20"/>
                <w:szCs w:val="20"/>
                <w:lang w:val="en-US" w:eastAsia="zh-CN"/>
              </w:rPr>
              <w:t>无</w:t>
            </w:r>
          </w:p>
        </w:tc>
      </w:tr>
      <w:tr w14:paraId="78A3F15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trPr>
        <w:tc>
          <w:tcPr>
            <w:tcW w:w="3816" w:type="dxa"/>
            <w:gridSpan w:val="2"/>
            <w:vAlign w:val="top"/>
          </w:tcPr>
          <w:p w14:paraId="35C866DD">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after="0" w:line="240" w:lineRule="auto"/>
              <w:ind w:left="0" w:leftChars="0" w:right="0" w:firstLine="0" w:firstLineChars="0"/>
              <w:jc w:val="left"/>
              <w:rPr>
                <w:rFonts w:hint="default" w:ascii="Times New Roman" w:hAnsi="Times New Roman" w:eastAsia="宋体" w:cs="Times New Roman"/>
                <w:kern w:val="24"/>
                <w:sz w:val="20"/>
                <w:szCs w:val="20"/>
                <w:highlight w:val="none"/>
              </w:rPr>
            </w:pPr>
            <w:r>
              <w:rPr>
                <w:rFonts w:hint="default" w:ascii="Times New Roman" w:hAnsi="Times New Roman" w:eastAsia="宋体" w:cs="Times New Roman"/>
                <w:kern w:val="24"/>
                <w:sz w:val="20"/>
                <w:szCs w:val="20"/>
                <w:highlight w:val="none"/>
              </w:rPr>
              <w:t>输出热力产生的排放</w:t>
            </w:r>
          </w:p>
        </w:tc>
        <w:tc>
          <w:tcPr>
            <w:tcW w:w="1329" w:type="dxa"/>
          </w:tcPr>
          <w:p w14:paraId="641F067F">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kern w:val="24"/>
                <w:sz w:val="20"/>
                <w:szCs w:val="20"/>
                <w:highlight w:val="none"/>
              </w:rPr>
            </w:pPr>
            <w:r>
              <w:rPr>
                <w:rFonts w:hint="eastAsia" w:eastAsia="宋体" w:cs="Times New Roman"/>
                <w:kern w:val="24"/>
                <w:sz w:val="20"/>
                <w:szCs w:val="20"/>
                <w:lang w:val="en-US" w:eastAsia="zh-CN"/>
              </w:rPr>
              <w:t>无</w:t>
            </w:r>
          </w:p>
        </w:tc>
        <w:tc>
          <w:tcPr>
            <w:tcW w:w="1580" w:type="dxa"/>
          </w:tcPr>
          <w:p w14:paraId="1DC46A55">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400" w:firstLineChars="200"/>
              <w:jc w:val="both"/>
              <w:rPr>
                <w:rFonts w:hint="default" w:ascii="Times New Roman" w:hAnsi="Times New Roman" w:eastAsia="宋体" w:cs="Times New Roman"/>
                <w:kern w:val="24"/>
                <w:sz w:val="20"/>
                <w:szCs w:val="20"/>
                <w:highlight w:val="none"/>
              </w:rPr>
            </w:pPr>
            <w:r>
              <w:rPr>
                <w:rFonts w:hint="eastAsia" w:eastAsia="宋体" w:cs="Times New Roman"/>
                <w:kern w:val="24"/>
                <w:sz w:val="20"/>
                <w:szCs w:val="20"/>
                <w:lang w:val="en-US" w:eastAsia="zh-CN"/>
              </w:rPr>
              <w:t>无</w:t>
            </w:r>
          </w:p>
        </w:tc>
        <w:tc>
          <w:tcPr>
            <w:tcW w:w="1578" w:type="dxa"/>
          </w:tcPr>
          <w:p w14:paraId="315E9702">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400" w:firstLineChars="200"/>
              <w:jc w:val="both"/>
              <w:rPr>
                <w:rFonts w:hint="default" w:ascii="Times New Roman" w:hAnsi="Times New Roman" w:eastAsia="宋体" w:cs="Times New Roman"/>
                <w:kern w:val="24"/>
                <w:sz w:val="20"/>
                <w:szCs w:val="20"/>
                <w:highlight w:val="none"/>
              </w:rPr>
            </w:pPr>
            <w:r>
              <w:rPr>
                <w:rFonts w:hint="eastAsia" w:eastAsia="宋体" w:cs="Times New Roman"/>
                <w:kern w:val="24"/>
                <w:sz w:val="20"/>
                <w:szCs w:val="20"/>
                <w:lang w:val="en-US" w:eastAsia="zh-CN"/>
              </w:rPr>
              <w:t>无</w:t>
            </w:r>
          </w:p>
        </w:tc>
      </w:tr>
      <w:tr w14:paraId="62C9AE7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3816" w:type="dxa"/>
            <w:gridSpan w:val="2"/>
            <w:vAlign w:val="top"/>
          </w:tcPr>
          <w:p w14:paraId="32F60D74">
            <w:pPr>
              <w:keepNext w:val="0"/>
              <w:keepLines w:val="0"/>
              <w:pageBreakBefore w:val="0"/>
              <w:widowControl/>
              <w:numPr>
                <w:ilvl w:val="0"/>
                <w:numId w:val="14"/>
              </w:numPr>
              <w:suppressLineNumbers w:val="0"/>
              <w:kinsoku/>
              <w:wordWrap/>
              <w:overflowPunct/>
              <w:topLinePunct w:val="0"/>
              <w:autoSpaceDE/>
              <w:autoSpaceDN/>
              <w:bidi w:val="0"/>
              <w:adjustRightInd/>
              <w:snapToGrid/>
              <w:spacing w:before="0" w:after="0" w:line="240" w:lineRule="auto"/>
              <w:ind w:left="0" w:leftChars="0" w:right="0" w:firstLine="0" w:firstLineChars="0"/>
              <w:jc w:val="left"/>
              <w:rPr>
                <w:rFonts w:hint="default" w:ascii="Times New Roman" w:hAnsi="Times New Roman" w:eastAsia="宋体" w:cs="Times New Roman"/>
                <w:kern w:val="24"/>
                <w:sz w:val="20"/>
                <w:szCs w:val="20"/>
                <w:highlight w:val="none"/>
              </w:rPr>
            </w:pPr>
            <w:r>
              <w:rPr>
                <w:rFonts w:hint="default" w:ascii="Times New Roman" w:hAnsi="Times New Roman" w:eastAsia="宋体" w:cs="Times New Roman"/>
                <w:kern w:val="24"/>
                <w:sz w:val="20"/>
                <w:szCs w:val="20"/>
                <w:highlight w:val="none"/>
              </w:rPr>
              <w:t>燃料燃烧的排放</w:t>
            </w:r>
          </w:p>
        </w:tc>
        <w:tc>
          <w:tcPr>
            <w:tcW w:w="1329" w:type="dxa"/>
          </w:tcPr>
          <w:p w14:paraId="246EEB3E">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kern w:val="24"/>
                <w:sz w:val="20"/>
                <w:szCs w:val="20"/>
                <w:lang w:val="en-US" w:eastAsia="zh-CN"/>
              </w:rPr>
            </w:pPr>
            <w:r>
              <w:rPr>
                <w:rFonts w:hint="eastAsia" w:eastAsia="宋体" w:cs="Times New Roman"/>
                <w:kern w:val="24"/>
                <w:sz w:val="20"/>
                <w:szCs w:val="20"/>
                <w:lang w:val="en-US" w:eastAsia="zh-CN"/>
              </w:rPr>
              <w:t>无</w:t>
            </w:r>
            <w:r>
              <w:rPr>
                <w:rFonts w:hint="eastAsia" w:eastAsia="宋体" w:cs="Times New Roman"/>
                <w:kern w:val="24"/>
                <w:sz w:val="20"/>
                <w:szCs w:val="20"/>
                <w:vertAlign w:val="superscript"/>
                <w:lang w:val="en-US" w:eastAsia="zh-CN"/>
              </w:rPr>
              <w:t>2</w:t>
            </w:r>
          </w:p>
        </w:tc>
        <w:tc>
          <w:tcPr>
            <w:tcW w:w="1580" w:type="dxa"/>
          </w:tcPr>
          <w:p w14:paraId="7CD6A4CC">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kern w:val="24"/>
                <w:sz w:val="20"/>
                <w:szCs w:val="20"/>
                <w:lang w:val="en-US" w:eastAsia="zh-CN"/>
              </w:rPr>
            </w:pPr>
            <w:r>
              <w:rPr>
                <w:rFonts w:hint="eastAsia" w:eastAsia="宋体" w:cs="Times New Roman"/>
                <w:kern w:val="24"/>
                <w:sz w:val="20"/>
                <w:szCs w:val="20"/>
                <w:lang w:val="en-US" w:eastAsia="zh-CN"/>
              </w:rPr>
              <w:t>无</w:t>
            </w:r>
            <w:r>
              <w:rPr>
                <w:rFonts w:hint="eastAsia" w:eastAsia="宋体" w:cs="Times New Roman"/>
                <w:kern w:val="24"/>
                <w:sz w:val="20"/>
                <w:szCs w:val="20"/>
                <w:vertAlign w:val="superscript"/>
                <w:lang w:val="en-US" w:eastAsia="zh-CN"/>
              </w:rPr>
              <w:t>2</w:t>
            </w:r>
          </w:p>
        </w:tc>
        <w:tc>
          <w:tcPr>
            <w:tcW w:w="1578" w:type="dxa"/>
          </w:tcPr>
          <w:p w14:paraId="2AB2908D">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kern w:val="24"/>
                <w:sz w:val="20"/>
                <w:szCs w:val="20"/>
                <w:lang w:val="en-US" w:eastAsia="zh-CN"/>
              </w:rPr>
            </w:pPr>
            <w:r>
              <w:rPr>
                <w:rFonts w:hint="eastAsia" w:eastAsia="宋体" w:cs="Times New Roman"/>
                <w:kern w:val="24"/>
                <w:sz w:val="20"/>
                <w:szCs w:val="20"/>
                <w:lang w:val="en-US" w:eastAsia="zh-CN"/>
              </w:rPr>
              <w:t>无</w:t>
            </w:r>
            <w:r>
              <w:rPr>
                <w:rFonts w:hint="eastAsia" w:eastAsia="宋体" w:cs="Times New Roman"/>
                <w:kern w:val="24"/>
                <w:sz w:val="20"/>
                <w:szCs w:val="20"/>
                <w:vertAlign w:val="superscript"/>
                <w:lang w:val="en-US" w:eastAsia="zh-CN"/>
              </w:rPr>
              <w:t>2</w:t>
            </w:r>
          </w:p>
        </w:tc>
      </w:tr>
      <w:tr w14:paraId="3450B9B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491" w:type="dxa"/>
            <w:vMerge w:val="restart"/>
            <w:vAlign w:val="top"/>
          </w:tcPr>
          <w:p w14:paraId="469499FC">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firstLine="0" w:firstLineChars="0"/>
              <w:jc w:val="left"/>
              <w:rPr>
                <w:rFonts w:hint="default" w:ascii="Times New Roman" w:hAnsi="Times New Roman" w:eastAsia="宋体" w:cs="Times New Roman"/>
                <w:b/>
                <w:bCs/>
                <w:kern w:val="24"/>
                <w:sz w:val="20"/>
                <w:szCs w:val="20"/>
                <w:highlight w:val="none"/>
                <w:lang w:val="en-US" w:eastAsia="zh-CN"/>
              </w:rPr>
            </w:pPr>
            <w:r>
              <w:rPr>
                <w:rFonts w:hint="default" w:ascii="Times New Roman" w:hAnsi="Times New Roman" w:eastAsia="宋体" w:cs="Times New Roman"/>
                <w:b/>
                <w:bCs/>
                <w:kern w:val="24"/>
                <w:sz w:val="20"/>
                <w:szCs w:val="20"/>
                <w:highlight w:val="none"/>
                <w:lang w:val="en-US" w:eastAsia="zh-CN"/>
              </w:rPr>
              <w:t>企业温室气体排放总量</w:t>
            </w:r>
          </w:p>
        </w:tc>
        <w:tc>
          <w:tcPr>
            <w:tcW w:w="2325" w:type="dxa"/>
            <w:vAlign w:val="top"/>
          </w:tcPr>
          <w:p w14:paraId="5424A93A">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firstLine="0" w:firstLineChars="0"/>
              <w:jc w:val="left"/>
              <w:rPr>
                <w:rFonts w:hint="default" w:ascii="Times New Roman" w:hAnsi="Times New Roman" w:eastAsia="宋体" w:cs="Times New Roman"/>
                <w:kern w:val="24"/>
                <w:sz w:val="20"/>
                <w:szCs w:val="20"/>
                <w:highlight w:val="none"/>
                <w:lang w:val="en-US" w:eastAsia="zh-CN"/>
              </w:rPr>
            </w:pPr>
            <w:r>
              <w:rPr>
                <w:rFonts w:hint="default" w:ascii="Times New Roman" w:hAnsi="Times New Roman" w:eastAsia="宋体" w:cs="Times New Roman"/>
                <w:kern w:val="24"/>
                <w:sz w:val="20"/>
                <w:szCs w:val="20"/>
                <w:highlight w:val="none"/>
                <w:lang w:val="en-US" w:eastAsia="zh-CN"/>
              </w:rPr>
              <w:t>以上1～4项的排放</w:t>
            </w:r>
          </w:p>
        </w:tc>
        <w:tc>
          <w:tcPr>
            <w:tcW w:w="1329" w:type="dxa"/>
            <w:vAlign w:val="top"/>
          </w:tcPr>
          <w:p w14:paraId="2579F6CB">
            <w:pPr>
              <w:keepNext w:val="0"/>
              <w:keepLines w:val="0"/>
              <w:widowControl/>
              <w:suppressLineNumbers w:val="0"/>
              <w:spacing w:before="0" w:after="0"/>
              <w:ind w:left="0" w:leftChars="0" w:right="0" w:firstLine="0" w:firstLineChars="0"/>
              <w:jc w:val="center"/>
              <w:textAlignment w:val="top"/>
              <w:rPr>
                <w:rFonts w:hint="default" w:ascii="Times New Roman" w:hAnsi="Times New Roman" w:eastAsia="宋体" w:cs="Times New Roman"/>
                <w:kern w:val="24"/>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298</w:t>
            </w:r>
          </w:p>
        </w:tc>
        <w:tc>
          <w:tcPr>
            <w:tcW w:w="1580" w:type="dxa"/>
            <w:vAlign w:val="top"/>
          </w:tcPr>
          <w:p w14:paraId="210632D3">
            <w:pPr>
              <w:keepNext w:val="0"/>
              <w:keepLines w:val="0"/>
              <w:widowControl/>
              <w:suppressLineNumbers w:val="0"/>
              <w:spacing w:before="0" w:after="0"/>
              <w:ind w:left="0" w:right="0" w:firstLine="400" w:firstLineChars="200"/>
              <w:jc w:val="both"/>
              <w:textAlignment w:val="top"/>
              <w:rPr>
                <w:rFonts w:hint="default" w:ascii="Times New Roman" w:hAnsi="Times New Roman" w:eastAsia="宋体" w:cs="Times New Roman"/>
                <w:kern w:val="24"/>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153.4</w:t>
            </w:r>
          </w:p>
        </w:tc>
        <w:tc>
          <w:tcPr>
            <w:tcW w:w="1578" w:type="dxa"/>
            <w:vAlign w:val="top"/>
          </w:tcPr>
          <w:p w14:paraId="7C61F583">
            <w:pPr>
              <w:keepNext w:val="0"/>
              <w:keepLines w:val="0"/>
              <w:widowControl/>
              <w:suppressLineNumbers w:val="0"/>
              <w:spacing w:before="0" w:after="0"/>
              <w:ind w:left="0" w:right="0" w:firstLine="400" w:firstLineChars="200"/>
              <w:jc w:val="both"/>
              <w:textAlignment w:val="top"/>
              <w:rPr>
                <w:rFonts w:hint="default" w:ascii="Times New Roman" w:hAnsi="Times New Roman" w:eastAsia="宋体" w:cs="Times New Roman"/>
                <w:kern w:val="24"/>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864.3</w:t>
            </w:r>
          </w:p>
        </w:tc>
      </w:tr>
      <w:tr w14:paraId="743EADE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491" w:type="dxa"/>
            <w:vMerge w:val="continue"/>
            <w:vAlign w:val="top"/>
          </w:tcPr>
          <w:p w14:paraId="40656162">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left"/>
              <w:rPr>
                <w:rFonts w:hint="default" w:ascii="Times New Roman" w:hAnsi="Times New Roman" w:eastAsia="宋体" w:cs="Times New Roman"/>
                <w:b/>
                <w:bCs/>
                <w:kern w:val="24"/>
                <w:sz w:val="20"/>
                <w:szCs w:val="20"/>
                <w:highlight w:val="none"/>
                <w:lang w:val="en-US" w:eastAsia="zh-CN"/>
              </w:rPr>
            </w:pPr>
          </w:p>
        </w:tc>
        <w:tc>
          <w:tcPr>
            <w:tcW w:w="2325" w:type="dxa"/>
            <w:vAlign w:val="top"/>
          </w:tcPr>
          <w:p w14:paraId="6E17BBD2">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firstLine="0" w:firstLineChars="0"/>
              <w:jc w:val="left"/>
              <w:rPr>
                <w:rFonts w:hint="default" w:ascii="Times New Roman" w:hAnsi="Times New Roman" w:eastAsia="宋体" w:cs="Times New Roman"/>
                <w:kern w:val="24"/>
                <w:sz w:val="20"/>
                <w:szCs w:val="20"/>
                <w:highlight w:val="none"/>
                <w:lang w:val="en-US" w:eastAsia="zh-CN"/>
              </w:rPr>
            </w:pPr>
            <w:r>
              <w:rPr>
                <w:rFonts w:hint="default" w:ascii="Times New Roman" w:hAnsi="Times New Roman" w:eastAsia="宋体" w:cs="Times New Roman"/>
                <w:kern w:val="24"/>
                <w:sz w:val="20"/>
                <w:szCs w:val="20"/>
                <w:highlight w:val="none"/>
                <w:lang w:val="en-US" w:eastAsia="zh-CN"/>
              </w:rPr>
              <w:t>以上1～10项的排放</w:t>
            </w:r>
          </w:p>
        </w:tc>
        <w:tc>
          <w:tcPr>
            <w:tcW w:w="1329" w:type="dxa"/>
            <w:vAlign w:val="top"/>
          </w:tcPr>
          <w:p w14:paraId="4B039A1E">
            <w:pPr>
              <w:keepNext w:val="0"/>
              <w:keepLines w:val="0"/>
              <w:widowControl/>
              <w:suppressLineNumbers w:val="0"/>
              <w:spacing w:before="0" w:after="0"/>
              <w:ind w:left="0" w:leftChars="0" w:right="0" w:firstLine="0" w:firstLineChars="0"/>
              <w:jc w:val="center"/>
              <w:textAlignment w:val="top"/>
              <w:rPr>
                <w:rFonts w:hint="default" w:ascii="Times New Roman" w:hAnsi="Times New Roman" w:eastAsia="宋体" w:cs="Times New Roman"/>
                <w:kern w:val="24"/>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2274.1</w:t>
            </w:r>
          </w:p>
        </w:tc>
        <w:tc>
          <w:tcPr>
            <w:tcW w:w="1580" w:type="dxa"/>
            <w:vAlign w:val="top"/>
          </w:tcPr>
          <w:p w14:paraId="33A3628A">
            <w:pPr>
              <w:keepNext w:val="0"/>
              <w:keepLines w:val="0"/>
              <w:widowControl/>
              <w:suppressLineNumbers w:val="0"/>
              <w:spacing w:before="0" w:after="0"/>
              <w:ind w:left="0" w:right="0"/>
              <w:jc w:val="both"/>
              <w:textAlignment w:val="top"/>
              <w:rPr>
                <w:rFonts w:hint="default" w:ascii="Times New Roman" w:hAnsi="Times New Roman" w:eastAsia="宋体" w:cs="Times New Roman"/>
                <w:kern w:val="24"/>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2181.8</w:t>
            </w:r>
          </w:p>
        </w:tc>
        <w:tc>
          <w:tcPr>
            <w:tcW w:w="1578" w:type="dxa"/>
            <w:vAlign w:val="top"/>
          </w:tcPr>
          <w:p w14:paraId="47B0A6F0">
            <w:pPr>
              <w:keepNext w:val="0"/>
              <w:keepLines w:val="0"/>
              <w:widowControl/>
              <w:suppressLineNumbers w:val="0"/>
              <w:spacing w:before="0" w:after="0"/>
              <w:ind w:left="0" w:right="0" w:firstLine="400" w:firstLineChars="200"/>
              <w:jc w:val="both"/>
              <w:textAlignment w:val="top"/>
              <w:rPr>
                <w:rFonts w:hint="default" w:ascii="Times New Roman" w:hAnsi="Times New Roman" w:eastAsia="宋体" w:cs="Times New Roman"/>
                <w:kern w:val="24"/>
                <w:sz w:val="20"/>
                <w:szCs w:val="20"/>
                <w:lang w:val="en-US" w:eastAsia="zh-CN"/>
              </w:rPr>
            </w:pPr>
            <w:r>
              <w:rPr>
                <w:rFonts w:hint="default" w:ascii="Times New Roman" w:hAnsi="Times New Roman" w:eastAsia="宋体" w:cs="Times New Roman"/>
                <w:i w:val="0"/>
                <w:iCs w:val="0"/>
                <w:color w:val="000000"/>
                <w:kern w:val="0"/>
                <w:sz w:val="20"/>
                <w:szCs w:val="20"/>
                <w:u w:val="none"/>
                <w:lang w:val="en-US" w:eastAsia="zh-CN" w:bidi="ar"/>
              </w:rPr>
              <w:t>2813.0</w:t>
            </w:r>
          </w:p>
        </w:tc>
      </w:tr>
    </w:tbl>
    <w:p w14:paraId="4818D29E">
      <w:pPr>
        <w:keepNext w:val="0"/>
        <w:keepLines w:val="0"/>
        <w:widowControl w:val="0"/>
        <w:suppressLineNumbers w:val="0"/>
        <w:spacing w:before="0" w:beforeAutospacing="0" w:after="0" w:afterAutospacing="0" w:line="360" w:lineRule="auto"/>
        <w:ind w:left="0" w:leftChars="0" w:right="0" w:firstLine="0" w:firstLineChars="0"/>
        <w:jc w:val="both"/>
        <w:rPr>
          <w:rFonts w:hint="eastAsia" w:eastAsia="宋体" w:cs="Times New Roman"/>
          <w:kern w:val="24"/>
          <w:sz w:val="24"/>
          <w:szCs w:val="24"/>
          <w:vertAlign w:val="baseline"/>
          <w:lang w:val="en-US" w:eastAsia="zh-CN"/>
        </w:rPr>
      </w:pPr>
      <w:r>
        <w:rPr>
          <w:rFonts w:hint="eastAsia" w:ascii="Times New Roman" w:hAnsi="Times New Roman" w:eastAsia="宋体" w:cs="Times New Roman"/>
          <w:kern w:val="24"/>
          <w:sz w:val="24"/>
          <w:szCs w:val="24"/>
          <w:vertAlign w:val="superscript"/>
          <w:lang w:val="en-US" w:eastAsia="zh-CN"/>
        </w:rPr>
        <w:t>1</w:t>
      </w:r>
      <w:r>
        <w:rPr>
          <w:rFonts w:hint="eastAsia" w:eastAsia="宋体" w:cs="Times New Roman"/>
          <w:kern w:val="24"/>
          <w:sz w:val="24"/>
          <w:szCs w:val="24"/>
          <w:vertAlign w:val="baseline"/>
          <w:lang w:val="en-US" w:eastAsia="zh-CN"/>
        </w:rPr>
        <w:t>本标准提供的排放因子尚未覆盖该厂使用的复合药剂，故此核算结果偏低。</w:t>
      </w:r>
    </w:p>
    <w:p w14:paraId="28EB1BEA">
      <w:pPr>
        <w:keepNext w:val="0"/>
        <w:keepLines w:val="0"/>
        <w:widowControl w:val="0"/>
        <w:numPr>
          <w:ilvl w:val="0"/>
          <w:numId w:val="0"/>
        </w:numPr>
        <w:suppressLineNumbers w:val="0"/>
        <w:spacing w:before="0" w:beforeAutospacing="0" w:after="0" w:afterAutospacing="0" w:line="360" w:lineRule="auto"/>
        <w:ind w:leftChars="0" w:right="0" w:rightChars="0"/>
        <w:jc w:val="both"/>
        <w:rPr>
          <w:rFonts w:hint="default" w:eastAsia="宋体" w:cs="Times New Roman"/>
          <w:kern w:val="24"/>
          <w:sz w:val="24"/>
          <w:szCs w:val="24"/>
          <w:vertAlign w:val="baseline"/>
          <w:lang w:val="en-US" w:eastAsia="zh-CN"/>
        </w:rPr>
      </w:pPr>
      <w:r>
        <w:rPr>
          <w:rFonts w:hint="eastAsia" w:eastAsia="宋体" w:cs="Times New Roman"/>
          <w:kern w:val="24"/>
          <w:sz w:val="24"/>
          <w:szCs w:val="24"/>
          <w:vertAlign w:val="superscript"/>
          <w:lang w:val="en-US" w:eastAsia="zh-CN"/>
        </w:rPr>
        <w:t xml:space="preserve">2 </w:t>
      </w:r>
      <w:r>
        <w:rPr>
          <w:rFonts w:hint="eastAsia" w:eastAsia="宋体" w:cs="Times New Roman"/>
          <w:kern w:val="24"/>
          <w:sz w:val="24"/>
          <w:szCs w:val="24"/>
          <w:vertAlign w:val="baseline"/>
          <w:lang w:val="en-US" w:eastAsia="zh-CN"/>
        </w:rPr>
        <w:t>企业1和2均采用污泥外包处置，运输相关的燃料由第三方负责；企业3未有燃料使用记录。</w:t>
      </w:r>
    </w:p>
    <w:p w14:paraId="702D5ADB">
      <w:pPr>
        <w:keepNext w:val="0"/>
        <w:keepLines w:val="0"/>
        <w:widowControl w:val="0"/>
        <w:suppressLineNumbers w:val="0"/>
        <w:spacing w:before="0" w:beforeAutospacing="0" w:after="0" w:afterAutospacing="0" w:line="360" w:lineRule="auto"/>
        <w:ind w:left="0" w:right="0" w:firstLine="560" w:firstLineChars="200"/>
        <w:jc w:val="both"/>
        <w:rPr>
          <w:rFonts w:hint="default" w:ascii="Times New Roman" w:hAnsi="Times New Roman" w:eastAsia="宋体" w:cs="Times New Roman"/>
          <w:kern w:val="2"/>
          <w:sz w:val="28"/>
          <w:szCs w:val="28"/>
          <w:woUserID w:val="1"/>
        </w:rPr>
      </w:pPr>
      <w:r>
        <w:rPr>
          <w:rFonts w:hint="eastAsia" w:ascii="宋体" w:hAnsi="宋体" w:eastAsia="宋体" w:cs="宋体"/>
          <w:color w:val="auto"/>
          <w:kern w:val="2"/>
          <w:sz w:val="28"/>
          <w:szCs w:val="28"/>
          <w:lang w:val="en-US" w:eastAsia="zh-CN" w:bidi="ar"/>
          <w:woUserID w:val="1"/>
        </w:rPr>
        <w:t>综上，本标准指标参数确定过程中，考虑了行业技术发展趋势，参考了现行的相关标准文件，综合了相关单位的意见和建议，各主要参数均合理有效、切实可行。</w:t>
      </w:r>
    </w:p>
    <w:p w14:paraId="644D2ACE">
      <w:pPr>
        <w:pStyle w:val="106"/>
        <w:rPr>
          <w:color w:val="auto"/>
        </w:rPr>
      </w:pPr>
      <w:bookmarkStart w:id="61" w:name="_Toc22958"/>
      <w:r>
        <w:rPr>
          <w:color w:val="auto"/>
        </w:rPr>
        <w:t>与有关的现行法律、法规和强制性国家标准的关系</w:t>
      </w:r>
      <w:bookmarkEnd w:id="61"/>
    </w:p>
    <w:p w14:paraId="1EE19E67">
      <w:pPr>
        <w:pStyle w:val="81"/>
        <w:keepNext w:val="0"/>
        <w:keepLines w:val="0"/>
        <w:widowControl/>
        <w:suppressLineNumbers w:val="0"/>
        <w:ind w:left="0" w:firstLine="0"/>
        <w:rPr>
          <w:rFonts w:hint="eastAsia" w:ascii="Times New Roman" w:hAnsi="Times New Roman" w:cs="Times New Roman" w:eastAsiaTheme="minorEastAsia"/>
          <w:color w:val="auto"/>
          <w:kern w:val="2"/>
          <w:sz w:val="28"/>
          <w:szCs w:val="28"/>
          <w:lang w:val="en-US" w:eastAsia="zh-CN" w:bidi="ar-SA"/>
        </w:rPr>
      </w:pPr>
      <w:r>
        <w:rPr>
          <w:rFonts w:hint="eastAsia" w:ascii="Times New Roman" w:hAnsi="Times New Roman" w:cs="Times New Roman" w:eastAsiaTheme="minorEastAsia"/>
          <w:color w:val="auto"/>
          <w:kern w:val="2"/>
          <w:sz w:val="28"/>
          <w:szCs w:val="28"/>
          <w:lang w:val="en-US" w:eastAsia="zh-CN" w:bidi="ar-SA"/>
        </w:rPr>
        <w:t>随着"双碳"目标纳入生态文明建设整体布局，企业温室气体排放核算规范已成为环境信息披露制度的核心技术要件。GB/T 32151《温室气体排放核算与报告要求》立足行业特性，系统规定了核算边界界定、核算方法选择、数据质量管控及报告格式规范等内容，目前已形成覆盖发电、化工、建材等49个重点行业的标准化核算体系。本次编写的标准《温室气体排放核算与报告要求第X部分：生活污水处理企业》主要规定了生活污水处理企业温室气体排放量的核算和报告相关的术语、核算边界、核算步骤和核算方法、数据质量管理、报告内容和格式等内容,对生活污水处理企业温室气体排放量核算和报告的具体要求做了进一步细化及提升。</w:t>
      </w:r>
    </w:p>
    <w:p w14:paraId="366F8AEF">
      <w:pPr>
        <w:pStyle w:val="106"/>
        <w:rPr>
          <w:color w:val="auto"/>
        </w:rPr>
      </w:pPr>
      <w:bookmarkStart w:id="62" w:name="_Toc3540"/>
      <w:r>
        <w:rPr>
          <w:color w:val="auto"/>
        </w:rPr>
        <w:t>重大分歧意见的处理经过和依据</w:t>
      </w:r>
      <w:bookmarkEnd w:id="62"/>
    </w:p>
    <w:p w14:paraId="7031C6F7">
      <w:pPr>
        <w:spacing w:line="360" w:lineRule="auto"/>
        <w:ind w:firstLine="560"/>
        <w:rPr>
          <w:color w:val="auto"/>
          <w:szCs w:val="28"/>
        </w:rPr>
      </w:pPr>
      <w:r>
        <w:rPr>
          <w:rFonts w:hint="eastAsia"/>
          <w:color w:val="auto"/>
          <w:szCs w:val="28"/>
        </w:rPr>
        <w:t>对于本标准的内容，无重大分歧意见。</w:t>
      </w:r>
    </w:p>
    <w:p w14:paraId="40AAF142">
      <w:pPr>
        <w:pStyle w:val="106"/>
        <w:rPr>
          <w:b/>
          <w:color w:val="auto"/>
        </w:rPr>
      </w:pPr>
      <w:bookmarkStart w:id="63" w:name="_Toc22032"/>
      <w:r>
        <w:rPr>
          <w:color w:val="auto"/>
        </w:rPr>
        <w:t>国家标准作为强制性国家标准或推荐性国家标准的建议</w:t>
      </w:r>
      <w:bookmarkEnd w:id="63"/>
    </w:p>
    <w:p w14:paraId="78F650CF">
      <w:pPr>
        <w:spacing w:line="360" w:lineRule="auto"/>
        <w:ind w:firstLine="560"/>
        <w:rPr>
          <w:color w:val="auto"/>
          <w:szCs w:val="28"/>
        </w:rPr>
      </w:pPr>
      <w:r>
        <w:rPr>
          <w:rFonts w:hint="eastAsia"/>
          <w:color w:val="auto"/>
          <w:szCs w:val="28"/>
        </w:rPr>
        <w:t>建议作为推荐性国家标准发布实施。</w:t>
      </w:r>
    </w:p>
    <w:p w14:paraId="1C86FB41">
      <w:pPr>
        <w:pStyle w:val="106"/>
        <w:rPr>
          <w:b/>
          <w:color w:val="auto"/>
        </w:rPr>
      </w:pPr>
      <w:bookmarkStart w:id="64" w:name="_Toc29956"/>
      <w:r>
        <w:rPr>
          <w:color w:val="auto"/>
        </w:rPr>
        <w:t>贯彻国家标准的要求和措施建议</w:t>
      </w:r>
      <w:bookmarkEnd w:id="64"/>
    </w:p>
    <w:p w14:paraId="0161AF61">
      <w:pPr>
        <w:spacing w:line="360" w:lineRule="auto"/>
        <w:ind w:firstLine="560"/>
        <w:rPr>
          <w:color w:val="auto"/>
          <w:szCs w:val="28"/>
        </w:rPr>
      </w:pPr>
      <w:r>
        <w:rPr>
          <w:rFonts w:hint="eastAsia"/>
          <w:color w:val="auto"/>
          <w:szCs w:val="28"/>
        </w:rPr>
        <w:t>本标准由全国碳排放管理标准化委员会（</w:t>
      </w:r>
      <w:r>
        <w:rPr>
          <w:color w:val="auto"/>
          <w:szCs w:val="28"/>
        </w:rPr>
        <w:t>SAC/TC548</w:t>
      </w:r>
      <w:r>
        <w:rPr>
          <w:rFonts w:hint="eastAsia"/>
          <w:color w:val="auto"/>
          <w:szCs w:val="28"/>
        </w:rPr>
        <w:t>）归口并解释。</w:t>
      </w:r>
    </w:p>
    <w:p w14:paraId="1B91C9A6">
      <w:pPr>
        <w:spacing w:line="360" w:lineRule="auto"/>
        <w:ind w:firstLine="560"/>
        <w:rPr>
          <w:color w:val="auto"/>
          <w:szCs w:val="28"/>
        </w:rPr>
      </w:pPr>
      <w:r>
        <w:rPr>
          <w:rFonts w:hint="eastAsia"/>
          <w:color w:val="auto"/>
          <w:szCs w:val="28"/>
        </w:rPr>
        <w:t>标准发布后</w:t>
      </w:r>
      <w:r>
        <w:rPr>
          <w:color w:val="auto"/>
          <w:szCs w:val="28"/>
        </w:rPr>
        <w:t>1</w:t>
      </w:r>
      <w:r>
        <w:rPr>
          <w:rFonts w:hint="eastAsia"/>
          <w:color w:val="auto"/>
          <w:szCs w:val="28"/>
        </w:rPr>
        <w:t>年内，将根据各方反馈意见择期召开标准宣贯会议。向监管部门、技术审评部门、检验机构、生产企业等使用单位发放标准宣贯资料，并解答标准中相关技术难点和疑点。</w:t>
      </w:r>
    </w:p>
    <w:p w14:paraId="42F19BA1">
      <w:pPr>
        <w:pStyle w:val="106"/>
        <w:rPr>
          <w:b/>
          <w:color w:val="auto"/>
        </w:rPr>
      </w:pPr>
      <w:bookmarkStart w:id="65" w:name="_Toc33"/>
      <w:r>
        <w:rPr>
          <w:color w:val="auto"/>
        </w:rPr>
        <w:t>废止现行有关标准的建议</w:t>
      </w:r>
      <w:bookmarkEnd w:id="65"/>
    </w:p>
    <w:p w14:paraId="49EC48EA">
      <w:pPr>
        <w:spacing w:line="360" w:lineRule="auto"/>
        <w:ind w:firstLine="560"/>
        <w:rPr>
          <w:color w:val="auto"/>
          <w:szCs w:val="28"/>
        </w:rPr>
      </w:pPr>
      <w:r>
        <w:rPr>
          <w:rFonts w:hint="eastAsia"/>
          <w:color w:val="auto"/>
          <w:szCs w:val="28"/>
        </w:rPr>
        <w:t>无。</w:t>
      </w:r>
    </w:p>
    <w:p w14:paraId="08B61DDD">
      <w:pPr>
        <w:pStyle w:val="106"/>
        <w:rPr>
          <w:color w:val="auto"/>
        </w:rPr>
      </w:pPr>
      <w:bookmarkStart w:id="66" w:name="_Toc31242"/>
      <w:r>
        <w:rPr>
          <w:color w:val="auto"/>
        </w:rPr>
        <w:t>其他应予说明的事项</w:t>
      </w:r>
      <w:bookmarkEnd w:id="66"/>
    </w:p>
    <w:p w14:paraId="4DA46D7E">
      <w:pPr>
        <w:spacing w:line="360" w:lineRule="auto"/>
        <w:ind w:firstLine="560"/>
        <w:rPr>
          <w:color w:val="auto"/>
          <w:szCs w:val="28"/>
        </w:rPr>
      </w:pPr>
      <w:r>
        <w:rPr>
          <w:rFonts w:hint="eastAsia"/>
          <w:color w:val="auto"/>
          <w:szCs w:val="28"/>
        </w:rPr>
        <w:t>无。</w:t>
      </w:r>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p>
    <w:p w14:paraId="65CCECE6">
      <w:pPr>
        <w:ind w:firstLine="560"/>
        <w:rPr>
          <w:color w:val="auto"/>
          <w:szCs w:val="28"/>
        </w:rPr>
      </w:pPr>
      <w:r>
        <w:rPr>
          <w:rFonts w:hint="eastAsia"/>
          <w:color w:val="auto"/>
          <w:szCs w:val="28"/>
        </w:rPr>
        <w:br w:type="page"/>
      </w:r>
    </w:p>
    <w:p w14:paraId="0A949F6D">
      <w:pPr>
        <w:pStyle w:val="106"/>
        <w:numPr>
          <w:ilvl w:val="0"/>
          <w:numId w:val="0"/>
        </w:numPr>
        <w:ind w:left="425" w:hanging="425"/>
        <w:jc w:val="center"/>
        <w:rPr>
          <w:rFonts w:hint="eastAsia" w:ascii="宋体" w:hAnsi="宋体" w:eastAsia="宋体" w:cs="宋体"/>
          <w:b/>
          <w:bCs w:val="0"/>
          <w:color w:val="auto"/>
          <w:sz w:val="24"/>
          <w:szCs w:val="24"/>
          <w:lang w:val="en-US" w:eastAsia="zh-CN"/>
        </w:rPr>
      </w:pPr>
      <w:bookmarkStart w:id="67" w:name="_Toc259"/>
      <w:r>
        <w:rPr>
          <w:rFonts w:hint="eastAsia" w:ascii="宋体" w:hAnsi="宋体" w:eastAsia="宋体" w:cs="宋体"/>
          <w:b/>
          <w:bCs w:val="0"/>
          <w:color w:val="auto"/>
          <w:sz w:val="24"/>
          <w:szCs w:val="24"/>
        </w:rPr>
        <w:t>附录</w:t>
      </w:r>
      <w:r>
        <w:rPr>
          <w:rFonts w:hint="eastAsia" w:ascii="宋体" w:hAnsi="宋体" w:eastAsia="宋体" w:cs="宋体"/>
          <w:b/>
          <w:bCs w:val="0"/>
          <w:color w:val="auto"/>
          <w:sz w:val="24"/>
          <w:szCs w:val="24"/>
          <w:lang w:val="en-US" w:eastAsia="zh-CN"/>
        </w:rPr>
        <w:t>A</w:t>
      </w:r>
      <w:bookmarkEnd w:id="67"/>
    </w:p>
    <w:p w14:paraId="4A5A81E4">
      <w:pPr>
        <w:pStyle w:val="106"/>
        <w:numPr>
          <w:ilvl w:val="0"/>
          <w:numId w:val="0"/>
        </w:numPr>
        <w:ind w:left="425" w:hanging="425"/>
        <w:jc w:val="center"/>
        <w:rPr>
          <w:rFonts w:hint="eastAsia"/>
          <w:color w:val="auto"/>
        </w:rPr>
      </w:pPr>
      <w:bookmarkStart w:id="68" w:name="_Toc31406"/>
      <w:bookmarkStart w:id="69" w:name="_Toc23884"/>
      <w:bookmarkStart w:id="70" w:name="_Toc9060"/>
      <w:r>
        <w:rPr>
          <w:rFonts w:hint="eastAsia"/>
          <w:color w:val="auto"/>
        </w:rPr>
        <w:t>温室气体排放因子及编制说明</w:t>
      </w:r>
      <w:bookmarkEnd w:id="68"/>
      <w:bookmarkEnd w:id="69"/>
      <w:bookmarkEnd w:id="70"/>
    </w:p>
    <w:p w14:paraId="5B11D67C">
      <w:pPr>
        <w:pStyle w:val="110"/>
        <w:numPr>
          <w:ilvl w:val="1"/>
          <w:numId w:val="0"/>
        </w:numPr>
        <w:bidi w:val="0"/>
      </w:pPr>
      <w:bookmarkStart w:id="71" w:name="_Toc23515"/>
      <w:r>
        <w:rPr>
          <w:rFonts w:hint="eastAsia"/>
        </w:rPr>
        <w:t>A.1</w:t>
      </w:r>
      <w:r>
        <w:t>污水处理过程直接排放因子</w:t>
      </w:r>
      <w:bookmarkEnd w:id="71"/>
    </w:p>
    <w:p w14:paraId="6F6292C5">
      <w:pPr>
        <w:pStyle w:val="107"/>
        <w:numPr>
          <w:ilvl w:val="2"/>
          <w:numId w:val="0"/>
        </w:numPr>
        <w:rPr>
          <w:rFonts w:hint="eastAsia"/>
          <w:color w:val="auto"/>
        </w:rPr>
      </w:pPr>
      <w:r>
        <w:rPr>
          <w:rFonts w:hint="eastAsia"/>
          <w:color w:val="auto"/>
        </w:rPr>
        <w:t>A.1.1</w:t>
      </w:r>
      <w:r>
        <w:rPr>
          <w:rFonts w:hint="eastAsia"/>
          <w:color w:val="auto"/>
        </w:rPr>
        <w:tab/>
      </w:r>
      <w:r>
        <w:rPr>
          <w:rFonts w:hint="eastAsia"/>
          <w:color w:val="auto"/>
        </w:rPr>
        <w:t>甲烷排放因子设计</w:t>
      </w:r>
    </w:p>
    <w:p w14:paraId="4A5B5BDE">
      <w:pPr>
        <w:bidi w:val="0"/>
        <w:rPr>
          <w:rFonts w:hint="default"/>
        </w:rPr>
      </w:pPr>
      <w:r>
        <w:rPr>
          <w:rFonts w:hint="default"/>
        </w:rPr>
        <w:t>污水收集处理过程甲烷产排机制比较明确，即有机物在厌氧环境下，通过消化作用即可产生甲烷。在污水收集处理系统中，化粪池、污水收集管网、初沉池等是主要排放源。由于甲烷具有较高的溶解度，污水管网产生的甲烷会进入污水处理厂并在后续工艺段进行释放，这部分甲烷排放计入污水处理企业甲烷直接排放量。研究显示，污水处理厂甲烷排放中接近90%来自污水管网，甚至影响生化处理好氧区的CH</w:t>
      </w:r>
      <w:r>
        <w:rPr>
          <w:rFonts w:hint="default"/>
          <w:vertAlign w:val="subscript"/>
        </w:rPr>
        <w:t>4</w:t>
      </w:r>
      <w:r>
        <w:rPr>
          <w:rFonts w:hint="default"/>
        </w:rPr>
        <w:t>排放，是污水处理厂甲烷排放的主要贡献来源。综上，本标准在确定甲烷排放因子时</w:t>
      </w:r>
      <w:r>
        <w:rPr>
          <w:rFonts w:hint="eastAsia"/>
          <w:lang w:val="en-US" w:eastAsia="zh-CN"/>
        </w:rPr>
        <w:t>聚焦系统的整体排放，而未针对工艺类型细分</w:t>
      </w:r>
      <w:r>
        <w:rPr>
          <w:rFonts w:hint="default"/>
        </w:rPr>
        <w:t>。</w:t>
      </w:r>
    </w:p>
    <w:p w14:paraId="245F7CD1">
      <w:pPr>
        <w:bidi w:val="0"/>
        <w:rPr>
          <w:rFonts w:hint="default"/>
          <w:lang w:val="en-US" w:eastAsia="zh-CN"/>
        </w:rPr>
      </w:pPr>
      <w:r>
        <w:rPr>
          <w:rFonts w:hint="default"/>
        </w:rPr>
        <w:t>编制组依托生态环境部碳排放监测试点工作</w:t>
      </w:r>
      <w:r>
        <w:rPr>
          <w:rFonts w:hint="eastAsia"/>
          <w:lang w:val="en-US" w:eastAsia="zh-CN"/>
        </w:rPr>
        <w:t>基础</w:t>
      </w:r>
      <w:r>
        <w:rPr>
          <w:rFonts w:hint="default"/>
        </w:rPr>
        <w:t>，</w:t>
      </w:r>
      <w:r>
        <w:rPr>
          <w:rFonts w:hint="eastAsia"/>
          <w:lang w:val="en-US" w:eastAsia="zh-CN"/>
        </w:rPr>
        <w:t>收集了来自</w:t>
      </w:r>
      <w:r>
        <w:rPr>
          <w:rFonts w:hint="default"/>
        </w:rPr>
        <w:t>北京、上海、山东、江苏等省市</w:t>
      </w:r>
      <w:r>
        <w:rPr>
          <w:rFonts w:hint="eastAsia"/>
          <w:lang w:val="en-US" w:eastAsia="zh-CN"/>
        </w:rPr>
        <w:t>典型生活污水处理厂2022和2024年的实际监测数据</w:t>
      </w:r>
      <w:r>
        <w:rPr>
          <w:rFonts w:hint="default"/>
          <w:lang w:eastAsia="zh-CN"/>
        </w:rPr>
        <w:t>，</w:t>
      </w:r>
      <w:r>
        <w:rPr>
          <w:rFonts w:hint="default"/>
        </w:rPr>
        <w:t>具有良好的代表性。监测</w:t>
      </w:r>
      <w:r>
        <w:rPr>
          <w:rFonts w:hint="eastAsia"/>
          <w:lang w:val="en-US" w:eastAsia="zh-CN"/>
        </w:rPr>
        <w:t>结果</w:t>
      </w:r>
      <w:r>
        <w:rPr>
          <w:rFonts w:hint="default"/>
        </w:rPr>
        <w:t>如</w:t>
      </w:r>
      <w:r>
        <w:rPr>
          <w:rFonts w:hint="eastAsia"/>
          <w:lang w:val="en-US" w:eastAsia="zh-CN"/>
        </w:rPr>
        <w:t>表1</w:t>
      </w:r>
      <w:r>
        <w:rPr>
          <w:rFonts w:hint="default"/>
          <w:lang w:val="en-US" w:eastAsia="zh-CN"/>
        </w:rPr>
        <w:t>所示，本</w:t>
      </w:r>
      <w:r>
        <w:rPr>
          <w:rFonts w:hint="eastAsia"/>
          <w:lang w:val="en-US" w:eastAsia="zh-CN"/>
        </w:rPr>
        <w:t>标准</w:t>
      </w:r>
      <w:r>
        <w:rPr>
          <w:rFonts w:hint="default"/>
          <w:lang w:val="en-US" w:eastAsia="zh-CN"/>
        </w:rPr>
        <w:t>推荐的缺省值根据</w:t>
      </w:r>
      <w:r>
        <w:rPr>
          <w:rFonts w:hint="eastAsia"/>
          <w:lang w:val="en-US" w:eastAsia="zh-CN"/>
        </w:rPr>
        <w:t>我国</w:t>
      </w:r>
      <w:r>
        <w:rPr>
          <w:rFonts w:hint="default"/>
          <w:lang w:val="en-US" w:eastAsia="zh-CN"/>
        </w:rPr>
        <w:t>实际监测数据，</w:t>
      </w:r>
      <w:r>
        <w:rPr>
          <w:rFonts w:hint="eastAsia"/>
          <w:lang w:val="en-US" w:eastAsia="zh-CN"/>
        </w:rPr>
        <w:t>监测周期为12个月，</w:t>
      </w:r>
      <w:r>
        <w:rPr>
          <w:rFonts w:hint="default"/>
          <w:lang w:val="en-US" w:eastAsia="zh-CN"/>
        </w:rPr>
        <w:t>采取平均值法计算获得</w:t>
      </w:r>
      <w:r>
        <w:rPr>
          <w:rFonts w:hint="eastAsia"/>
          <w:lang w:val="en-US" w:eastAsia="zh-CN"/>
        </w:rPr>
        <w:t>（</w:t>
      </w:r>
      <w:r>
        <w:rPr>
          <w:rFonts w:hint="default"/>
          <w:lang w:val="en-US" w:eastAsia="zh-CN"/>
        </w:rPr>
        <w:t>表</w:t>
      </w:r>
      <w:r>
        <w:rPr>
          <w:rFonts w:hint="eastAsia"/>
          <w:lang w:val="en-US" w:eastAsia="zh-CN"/>
        </w:rPr>
        <w:t>A.</w:t>
      </w:r>
      <w:r>
        <w:rPr>
          <w:rFonts w:hint="default"/>
          <w:lang w:val="en-US" w:eastAsia="zh-CN"/>
        </w:rPr>
        <w:t>1</w:t>
      </w:r>
      <w:r>
        <w:rPr>
          <w:rFonts w:hint="eastAsia"/>
          <w:lang w:val="en-US" w:eastAsia="zh-CN"/>
        </w:rPr>
        <w:t>）</w:t>
      </w:r>
      <w:r>
        <w:rPr>
          <w:rFonts w:hint="default"/>
          <w:lang w:val="en-US" w:eastAsia="zh-CN"/>
        </w:rPr>
        <w:t>。</w:t>
      </w:r>
    </w:p>
    <w:p w14:paraId="448E113A">
      <w:pPr>
        <w:bidi w:val="0"/>
        <w:jc w:val="center"/>
        <w:rPr>
          <w:rFonts w:hint="default"/>
          <w:lang w:val="en-US" w:eastAsia="zh-CN"/>
        </w:rPr>
      </w:pPr>
      <w:r>
        <w:rPr>
          <w:rFonts w:hint="default"/>
          <w:lang w:val="en-US" w:eastAsia="zh-CN"/>
        </w:rPr>
        <w:t>表</w:t>
      </w:r>
      <w:r>
        <w:rPr>
          <w:rFonts w:hint="eastAsia"/>
          <w:lang w:val="en-US" w:eastAsia="zh-CN"/>
        </w:rPr>
        <w:t>A.</w:t>
      </w:r>
      <w:r>
        <w:rPr>
          <w:rFonts w:hint="default"/>
          <w:lang w:val="en-US" w:eastAsia="zh-CN"/>
        </w:rPr>
        <w:t>1 污水处理设施甲烷排放因子</w:t>
      </w:r>
    </w:p>
    <w:tbl>
      <w:tblPr>
        <w:tblStyle w:val="88"/>
        <w:tblW w:w="4595" w:type="pct"/>
        <w:tblInd w:w="662" w:type="dxa"/>
        <w:tblLayout w:type="autofit"/>
        <w:tblCellMar>
          <w:top w:w="0" w:type="dxa"/>
          <w:left w:w="108" w:type="dxa"/>
          <w:bottom w:w="0" w:type="dxa"/>
          <w:right w:w="108" w:type="dxa"/>
        </w:tblCellMar>
      </w:tblPr>
      <w:tblGrid>
        <w:gridCol w:w="788"/>
        <w:gridCol w:w="3155"/>
        <w:gridCol w:w="3894"/>
      </w:tblGrid>
      <w:tr w14:paraId="34685A2B">
        <w:tblPrEx>
          <w:tblCellMar>
            <w:top w:w="0" w:type="dxa"/>
            <w:left w:w="108" w:type="dxa"/>
            <w:bottom w:w="0" w:type="dxa"/>
            <w:right w:w="108" w:type="dxa"/>
          </w:tblCellMar>
        </w:tblPrEx>
        <w:trPr>
          <w:trHeight w:val="400" w:hRule="atLeast"/>
        </w:trPr>
        <w:tc>
          <w:tcPr>
            <w:tcW w:w="588" w:type="pct"/>
            <w:tcBorders>
              <w:top w:val="single" w:color="auto" w:sz="12" w:space="0"/>
              <w:left w:val="nil"/>
              <w:bottom w:val="single" w:color="auto" w:sz="12" w:space="0"/>
              <w:right w:val="dashSmallGap" w:color="auto" w:sz="4" w:space="0"/>
            </w:tcBorders>
            <w:shd w:val="clear" w:color="auto" w:fill="E7E6E6" w:themeFill="background2"/>
            <w:noWrap/>
            <w:vAlign w:val="center"/>
          </w:tcPr>
          <w:p w14:paraId="6C7CB7CC">
            <w:pPr>
              <w:keepNext w:val="0"/>
              <w:keepLines w:val="0"/>
              <w:pageBreakBefore w:val="0"/>
              <w:widowControl w:val="0"/>
              <w:suppressLineNumbers w:val="0"/>
              <w:kinsoku/>
              <w:wordWrap/>
              <w:overflowPunct/>
              <w:topLinePunct w:val="0"/>
              <w:autoSpaceDE/>
              <w:autoSpaceDN/>
              <w:bidi w:val="0"/>
              <w:adjustRightInd/>
              <w:snapToGrid/>
              <w:spacing w:before="0" w:after="0" w:line="240" w:lineRule="auto"/>
              <w:ind w:left="0" w:leftChars="0" w:right="0" w:firstLine="0" w:firstLineChars="0"/>
              <w:jc w:val="center"/>
              <w:textAlignment w:val="auto"/>
              <w:rPr>
                <w:rFonts w:hint="default" w:ascii="Times New Roman" w:hAnsi="Times New Roman" w:cs="Times New Roman" w:eastAsiaTheme="minorEastAsia"/>
                <w:b/>
                <w:bCs/>
                <w:color w:val="auto"/>
                <w:sz w:val="24"/>
                <w:szCs w:val="24"/>
                <w:lang w:val="en-US" w:eastAsia="zh-CN"/>
              </w:rPr>
            </w:pPr>
            <w:r>
              <w:rPr>
                <w:rFonts w:hint="default" w:ascii="Times New Roman" w:hAnsi="Times New Roman" w:cs="Times New Roman" w:eastAsiaTheme="minorEastAsia"/>
                <w:b/>
                <w:bCs/>
                <w:color w:val="auto"/>
                <w:sz w:val="24"/>
                <w:szCs w:val="24"/>
                <w:lang w:val="en-US" w:eastAsia="zh-CN"/>
              </w:rPr>
              <w:t>序号</w:t>
            </w:r>
          </w:p>
        </w:tc>
        <w:tc>
          <w:tcPr>
            <w:tcW w:w="2098" w:type="pct"/>
            <w:tcBorders>
              <w:top w:val="single" w:color="auto" w:sz="12" w:space="0"/>
              <w:left w:val="dashSmallGap" w:color="auto" w:sz="4" w:space="0"/>
              <w:bottom w:val="single" w:color="auto" w:sz="12" w:space="0"/>
              <w:right w:val="dashSmallGap" w:color="auto" w:sz="4" w:space="0"/>
            </w:tcBorders>
            <w:shd w:val="clear" w:color="auto" w:fill="E7E6E6" w:themeFill="background2"/>
            <w:noWrap/>
            <w:vAlign w:val="center"/>
          </w:tcPr>
          <w:p w14:paraId="546149A4">
            <w:pPr>
              <w:keepNext w:val="0"/>
              <w:keepLines w:val="0"/>
              <w:pageBreakBefore w:val="0"/>
              <w:widowControl w:val="0"/>
              <w:suppressLineNumbers w:val="0"/>
              <w:kinsoku/>
              <w:wordWrap/>
              <w:overflowPunct/>
              <w:topLinePunct w:val="0"/>
              <w:autoSpaceDE/>
              <w:autoSpaceDN/>
              <w:bidi w:val="0"/>
              <w:adjustRightInd/>
              <w:snapToGrid/>
              <w:spacing w:before="0" w:after="0" w:line="240" w:lineRule="auto"/>
              <w:ind w:left="0" w:right="0" w:firstLine="480"/>
              <w:jc w:val="center"/>
              <w:textAlignment w:val="auto"/>
              <w:rPr>
                <w:rFonts w:hint="default" w:ascii="Times New Roman" w:hAnsi="Times New Roman" w:cs="Times New Roman" w:eastAsiaTheme="minorEastAsia"/>
                <w:b/>
                <w:bCs/>
                <w:color w:val="auto"/>
                <w:sz w:val="24"/>
                <w:szCs w:val="24"/>
              </w:rPr>
            </w:pPr>
            <w:r>
              <w:rPr>
                <w:rFonts w:hint="default" w:ascii="Times New Roman" w:hAnsi="Times New Roman" w:cs="Times New Roman" w:eastAsiaTheme="minorEastAsia"/>
                <w:b/>
                <w:bCs/>
                <w:color w:val="auto"/>
                <w:sz w:val="24"/>
                <w:szCs w:val="24"/>
              </w:rPr>
              <w:t>项目名称</w:t>
            </w:r>
          </w:p>
        </w:tc>
        <w:tc>
          <w:tcPr>
            <w:tcW w:w="2313" w:type="pct"/>
            <w:tcBorders>
              <w:top w:val="single" w:color="auto" w:sz="12" w:space="0"/>
              <w:left w:val="dashSmallGap" w:color="auto" w:sz="4" w:space="0"/>
              <w:bottom w:val="single" w:color="auto" w:sz="12" w:space="0"/>
              <w:right w:val="dashSmallGap" w:color="auto" w:sz="4" w:space="0"/>
            </w:tcBorders>
            <w:shd w:val="clear" w:color="auto" w:fill="E7E6E6" w:themeFill="background2"/>
            <w:noWrap/>
            <w:vAlign w:val="center"/>
          </w:tcPr>
          <w:p w14:paraId="04B82701">
            <w:pPr>
              <w:keepNext w:val="0"/>
              <w:keepLines w:val="0"/>
              <w:pageBreakBefore w:val="0"/>
              <w:widowControl w:val="0"/>
              <w:suppressLineNumbers w:val="0"/>
              <w:kinsoku/>
              <w:wordWrap/>
              <w:overflowPunct/>
              <w:topLinePunct w:val="0"/>
              <w:autoSpaceDE/>
              <w:autoSpaceDN/>
              <w:bidi w:val="0"/>
              <w:adjustRightInd/>
              <w:snapToGrid/>
              <w:spacing w:before="0" w:after="0" w:line="240" w:lineRule="auto"/>
              <w:ind w:left="0" w:right="0" w:firstLine="480"/>
              <w:jc w:val="center"/>
              <w:textAlignment w:val="auto"/>
              <w:rPr>
                <w:rFonts w:hint="default" w:ascii="Times New Roman" w:hAnsi="Times New Roman" w:cs="Times New Roman" w:eastAsiaTheme="minorEastAsia"/>
                <w:b/>
                <w:bCs/>
                <w:color w:val="auto"/>
                <w:sz w:val="24"/>
                <w:szCs w:val="24"/>
                <w:lang w:val="en-US" w:eastAsia="zh-CN"/>
              </w:rPr>
            </w:pPr>
            <w:r>
              <w:rPr>
                <w:rFonts w:hint="default" w:ascii="Times New Roman" w:hAnsi="Times New Roman" w:cs="Times New Roman" w:eastAsiaTheme="minorEastAsia"/>
                <w:b/>
                <w:bCs/>
                <w:color w:val="auto"/>
                <w:sz w:val="24"/>
                <w:szCs w:val="24"/>
                <w:lang w:val="en-US" w:eastAsia="zh-CN"/>
              </w:rPr>
              <w:t>监测数据（</w:t>
            </w:r>
            <w:r>
              <w:rPr>
                <w:rFonts w:hint="default" w:ascii="Times New Roman" w:hAnsi="Times New Roman" w:cs="Times New Roman" w:eastAsiaTheme="minorEastAsia"/>
                <w:b/>
                <w:bCs/>
                <w:color w:val="auto"/>
                <w:sz w:val="24"/>
                <w:szCs w:val="24"/>
              </w:rPr>
              <w:t>kg</w:t>
            </w:r>
            <w:r>
              <w:rPr>
                <w:rFonts w:hint="default" w:ascii="Times New Roman" w:hAnsi="Times New Roman" w:cs="Times New Roman" w:eastAsiaTheme="minorEastAsia"/>
                <w:b/>
                <w:bCs/>
                <w:color w:val="auto"/>
                <w:sz w:val="24"/>
                <w:szCs w:val="24"/>
                <w:lang w:val="en-US" w:eastAsia="zh-CN"/>
              </w:rPr>
              <w:t xml:space="preserve"> </w:t>
            </w:r>
            <w:r>
              <w:rPr>
                <w:rFonts w:hint="default" w:ascii="Times New Roman" w:hAnsi="Times New Roman" w:cs="Times New Roman" w:eastAsiaTheme="minorEastAsia"/>
                <w:b/>
                <w:bCs/>
                <w:color w:val="auto"/>
                <w:sz w:val="24"/>
                <w:szCs w:val="24"/>
              </w:rPr>
              <w:t>CH</w:t>
            </w:r>
            <w:r>
              <w:rPr>
                <w:rFonts w:hint="default" w:ascii="Times New Roman" w:hAnsi="Times New Roman" w:cs="Times New Roman" w:eastAsiaTheme="minorEastAsia"/>
                <w:b/>
                <w:bCs/>
                <w:color w:val="auto"/>
                <w:sz w:val="24"/>
                <w:szCs w:val="24"/>
                <w:vertAlign w:val="subscript"/>
              </w:rPr>
              <w:t>4</w:t>
            </w:r>
            <w:r>
              <w:rPr>
                <w:rFonts w:hint="default" w:ascii="Times New Roman" w:hAnsi="Times New Roman" w:cs="Times New Roman" w:eastAsiaTheme="minorEastAsia"/>
                <w:b/>
                <w:bCs/>
                <w:color w:val="auto"/>
                <w:sz w:val="24"/>
                <w:szCs w:val="24"/>
              </w:rPr>
              <w:t>/</w:t>
            </w:r>
            <w:r>
              <w:rPr>
                <w:rFonts w:hint="default" w:ascii="Times New Roman" w:hAnsi="Times New Roman" w:cs="Times New Roman" w:eastAsiaTheme="minorEastAsia"/>
                <w:b/>
                <w:bCs/>
                <w:color w:val="auto"/>
                <w:sz w:val="24"/>
                <w:szCs w:val="24"/>
                <w:lang w:val="en-US" w:eastAsia="zh-CN"/>
              </w:rPr>
              <w:t xml:space="preserve">t </w:t>
            </w:r>
            <w:r>
              <w:rPr>
                <w:rFonts w:hint="default" w:ascii="Times New Roman" w:hAnsi="Times New Roman" w:cs="Times New Roman" w:eastAsiaTheme="minorEastAsia"/>
                <w:b/>
                <w:bCs/>
                <w:color w:val="auto"/>
                <w:sz w:val="24"/>
                <w:szCs w:val="24"/>
              </w:rPr>
              <w:t>C</w:t>
            </w:r>
            <w:r>
              <w:rPr>
                <w:rFonts w:hint="default" w:ascii="Times New Roman" w:hAnsi="Times New Roman" w:cs="Times New Roman" w:eastAsiaTheme="minorEastAsia"/>
                <w:b/>
                <w:bCs/>
                <w:color w:val="auto"/>
                <w:sz w:val="24"/>
                <w:szCs w:val="24"/>
                <w:lang w:val="en-US" w:eastAsia="zh-CN"/>
              </w:rPr>
              <w:t>OD</w:t>
            </w:r>
            <w:r>
              <w:rPr>
                <w:rFonts w:hint="eastAsia" w:cs="Times New Roman"/>
                <w:b/>
                <w:bCs/>
                <w:color w:val="auto"/>
                <w:sz w:val="24"/>
                <w:szCs w:val="24"/>
                <w:vertAlign w:val="subscript"/>
                <w:lang w:val="en-US" w:eastAsia="zh-CN"/>
              </w:rPr>
              <w:t>Re</w:t>
            </w:r>
            <w:r>
              <w:rPr>
                <w:rFonts w:hint="default" w:ascii="Times New Roman" w:hAnsi="Times New Roman" w:cs="Times New Roman" w:eastAsiaTheme="minorEastAsia"/>
                <w:b/>
                <w:bCs/>
                <w:color w:val="auto"/>
                <w:sz w:val="24"/>
                <w:szCs w:val="24"/>
                <w:lang w:val="en-US" w:eastAsia="zh-CN"/>
              </w:rPr>
              <w:t>）</w:t>
            </w:r>
          </w:p>
        </w:tc>
      </w:tr>
      <w:tr w14:paraId="72E56DA5">
        <w:tblPrEx>
          <w:tblCellMar>
            <w:top w:w="0" w:type="dxa"/>
            <w:left w:w="108" w:type="dxa"/>
            <w:bottom w:w="0" w:type="dxa"/>
            <w:right w:w="108" w:type="dxa"/>
          </w:tblCellMar>
        </w:tblPrEx>
        <w:trPr>
          <w:trHeight w:val="400" w:hRule="atLeast"/>
        </w:trPr>
        <w:tc>
          <w:tcPr>
            <w:tcW w:w="588" w:type="pct"/>
            <w:tcBorders>
              <w:top w:val="single" w:color="auto" w:sz="12" w:space="0"/>
              <w:left w:val="nil"/>
              <w:bottom w:val="single" w:color="000000" w:sz="4" w:space="0"/>
              <w:right w:val="dashSmallGap" w:color="auto" w:sz="4" w:space="0"/>
            </w:tcBorders>
            <w:shd w:val="clear" w:color="auto" w:fill="auto"/>
            <w:noWrap/>
            <w:vAlign w:val="center"/>
          </w:tcPr>
          <w:p w14:paraId="0DDCE4A2">
            <w:pPr>
              <w:keepNext w:val="0"/>
              <w:keepLines w:val="0"/>
              <w:pageBreakBefore w:val="0"/>
              <w:widowControl w:val="0"/>
              <w:suppressLineNumbers w:val="0"/>
              <w:kinsoku/>
              <w:wordWrap/>
              <w:overflowPunct/>
              <w:topLinePunct w:val="0"/>
              <w:autoSpaceDE/>
              <w:autoSpaceDN/>
              <w:bidi w:val="0"/>
              <w:adjustRightInd/>
              <w:snapToGrid/>
              <w:spacing w:before="0" w:after="0" w:line="240" w:lineRule="auto"/>
              <w:ind w:left="0" w:leftChars="0" w:right="0" w:firstLine="240" w:firstLineChars="1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1</w:t>
            </w:r>
          </w:p>
        </w:tc>
        <w:tc>
          <w:tcPr>
            <w:tcW w:w="2098" w:type="pct"/>
            <w:tcBorders>
              <w:top w:val="single" w:color="auto" w:sz="12" w:space="0"/>
              <w:left w:val="dashSmallGap" w:color="auto" w:sz="4" w:space="0"/>
              <w:bottom w:val="single" w:color="000000" w:sz="4" w:space="0"/>
              <w:right w:val="dashSmallGap" w:color="auto" w:sz="4" w:space="0"/>
            </w:tcBorders>
            <w:shd w:val="clear" w:color="auto" w:fill="auto"/>
            <w:noWrap/>
            <w:vAlign w:val="center"/>
          </w:tcPr>
          <w:p w14:paraId="6FE1C7CA">
            <w:pPr>
              <w:keepNext w:val="0"/>
              <w:keepLines w:val="0"/>
              <w:pageBreakBefore w:val="0"/>
              <w:widowControl w:val="0"/>
              <w:suppressLineNumbers w:val="0"/>
              <w:kinsoku/>
              <w:wordWrap/>
              <w:overflowPunct/>
              <w:topLinePunct w:val="0"/>
              <w:autoSpaceDE/>
              <w:autoSpaceDN/>
              <w:bidi w:val="0"/>
              <w:adjustRightInd/>
              <w:snapToGrid/>
              <w:spacing w:before="0" w:after="0" w:line="240" w:lineRule="auto"/>
              <w:ind w:left="0" w:right="0" w:firstLine="480"/>
              <w:jc w:val="center"/>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北京</w:t>
            </w:r>
          </w:p>
        </w:tc>
        <w:tc>
          <w:tcPr>
            <w:tcW w:w="2313" w:type="pct"/>
            <w:tcBorders>
              <w:top w:val="single" w:color="auto" w:sz="12" w:space="0"/>
              <w:left w:val="dashSmallGap" w:color="auto" w:sz="4" w:space="0"/>
              <w:bottom w:val="single" w:color="000000" w:sz="4" w:space="0"/>
              <w:right w:val="dashSmallGap" w:color="auto" w:sz="4" w:space="0"/>
            </w:tcBorders>
            <w:shd w:val="clear" w:color="auto" w:fill="auto"/>
            <w:noWrap/>
            <w:vAlign w:val="center"/>
          </w:tcPr>
          <w:p w14:paraId="0D51066E">
            <w:pPr>
              <w:keepNext w:val="0"/>
              <w:keepLines w:val="0"/>
              <w:pageBreakBefore w:val="0"/>
              <w:widowControl w:val="0"/>
              <w:suppressLineNumbers w:val="0"/>
              <w:kinsoku/>
              <w:wordWrap/>
              <w:overflowPunct/>
              <w:topLinePunct w:val="0"/>
              <w:autoSpaceDE/>
              <w:autoSpaceDN/>
              <w:bidi w:val="0"/>
              <w:adjustRightInd/>
              <w:snapToGrid/>
              <w:spacing w:before="0" w:after="0" w:line="240" w:lineRule="auto"/>
              <w:ind w:left="0" w:right="0" w:firstLine="480"/>
              <w:jc w:val="center"/>
              <w:textAlignment w:val="auto"/>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 xml:space="preserve">4.30 </w:t>
            </w:r>
          </w:p>
        </w:tc>
      </w:tr>
      <w:tr w14:paraId="32F05B9F">
        <w:tblPrEx>
          <w:tblCellMar>
            <w:top w:w="0" w:type="dxa"/>
            <w:left w:w="108" w:type="dxa"/>
            <w:bottom w:w="0" w:type="dxa"/>
            <w:right w:w="108" w:type="dxa"/>
          </w:tblCellMar>
        </w:tblPrEx>
        <w:trPr>
          <w:trHeight w:val="400" w:hRule="atLeast"/>
        </w:trPr>
        <w:tc>
          <w:tcPr>
            <w:tcW w:w="588" w:type="pct"/>
            <w:tcBorders>
              <w:top w:val="single" w:color="000000" w:sz="4" w:space="0"/>
              <w:left w:val="nil"/>
              <w:bottom w:val="single" w:color="000000" w:sz="4" w:space="0"/>
              <w:right w:val="dashSmallGap" w:color="auto" w:sz="4" w:space="0"/>
            </w:tcBorders>
            <w:shd w:val="clear" w:color="auto" w:fill="auto"/>
            <w:noWrap/>
            <w:vAlign w:val="center"/>
          </w:tcPr>
          <w:p w14:paraId="1B7F910B">
            <w:pPr>
              <w:keepNext w:val="0"/>
              <w:keepLines w:val="0"/>
              <w:pageBreakBefore w:val="0"/>
              <w:widowControl w:val="0"/>
              <w:suppressLineNumbers w:val="0"/>
              <w:kinsoku/>
              <w:wordWrap/>
              <w:overflowPunct/>
              <w:topLinePunct w:val="0"/>
              <w:autoSpaceDE/>
              <w:autoSpaceDN/>
              <w:bidi w:val="0"/>
              <w:adjustRightInd/>
              <w:snapToGrid/>
              <w:spacing w:before="0" w:after="0" w:line="240" w:lineRule="auto"/>
              <w:ind w:left="0" w:leftChars="0" w:right="0" w:firstLine="240" w:firstLineChars="1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2</w:t>
            </w:r>
          </w:p>
        </w:tc>
        <w:tc>
          <w:tcPr>
            <w:tcW w:w="2098" w:type="pct"/>
            <w:tcBorders>
              <w:top w:val="single" w:color="000000" w:sz="4" w:space="0"/>
              <w:left w:val="dashSmallGap" w:color="auto" w:sz="4" w:space="0"/>
              <w:bottom w:val="single" w:color="000000" w:sz="4" w:space="0"/>
              <w:right w:val="dashSmallGap" w:color="auto" w:sz="4" w:space="0"/>
            </w:tcBorders>
            <w:shd w:val="clear" w:color="auto" w:fill="auto"/>
            <w:noWrap/>
            <w:vAlign w:val="center"/>
          </w:tcPr>
          <w:p w14:paraId="760E74F4">
            <w:pPr>
              <w:keepNext w:val="0"/>
              <w:keepLines w:val="0"/>
              <w:pageBreakBefore w:val="0"/>
              <w:widowControl w:val="0"/>
              <w:suppressLineNumbers w:val="0"/>
              <w:kinsoku/>
              <w:wordWrap/>
              <w:overflowPunct/>
              <w:topLinePunct w:val="0"/>
              <w:autoSpaceDE/>
              <w:autoSpaceDN/>
              <w:bidi w:val="0"/>
              <w:adjustRightInd/>
              <w:snapToGrid/>
              <w:spacing w:before="0" w:after="0" w:line="240" w:lineRule="auto"/>
              <w:ind w:left="0" w:right="0" w:firstLine="480"/>
              <w:jc w:val="center"/>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rPr>
              <w:t>上海</w:t>
            </w:r>
            <w:r>
              <w:rPr>
                <w:rFonts w:hint="eastAsia" w:cs="Times New Roman"/>
                <w:color w:val="auto"/>
                <w:sz w:val="24"/>
                <w:szCs w:val="24"/>
                <w:lang w:val="en-US" w:eastAsia="zh-CN"/>
              </w:rPr>
              <w:t>1</w:t>
            </w:r>
          </w:p>
        </w:tc>
        <w:tc>
          <w:tcPr>
            <w:tcW w:w="2313" w:type="pct"/>
            <w:tcBorders>
              <w:top w:val="single" w:color="000000" w:sz="4" w:space="0"/>
              <w:left w:val="dashSmallGap" w:color="auto" w:sz="4" w:space="0"/>
              <w:bottom w:val="single" w:color="000000" w:sz="4" w:space="0"/>
              <w:right w:val="dashSmallGap" w:color="auto" w:sz="4" w:space="0"/>
            </w:tcBorders>
            <w:shd w:val="clear" w:color="auto" w:fill="auto"/>
            <w:noWrap/>
            <w:vAlign w:val="center"/>
          </w:tcPr>
          <w:p w14:paraId="0AD2E74E">
            <w:pPr>
              <w:keepNext w:val="0"/>
              <w:keepLines w:val="0"/>
              <w:pageBreakBefore w:val="0"/>
              <w:widowControl w:val="0"/>
              <w:suppressLineNumbers w:val="0"/>
              <w:kinsoku/>
              <w:wordWrap/>
              <w:overflowPunct/>
              <w:topLinePunct w:val="0"/>
              <w:autoSpaceDE/>
              <w:autoSpaceDN/>
              <w:bidi w:val="0"/>
              <w:adjustRightInd/>
              <w:snapToGrid/>
              <w:spacing w:before="0" w:after="0" w:line="240" w:lineRule="auto"/>
              <w:ind w:left="0" w:right="0" w:firstLine="480"/>
              <w:jc w:val="center"/>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7.08</w:t>
            </w:r>
          </w:p>
        </w:tc>
      </w:tr>
      <w:tr w14:paraId="7F5AF88F">
        <w:tblPrEx>
          <w:tblCellMar>
            <w:top w:w="0" w:type="dxa"/>
            <w:left w:w="108" w:type="dxa"/>
            <w:bottom w:w="0" w:type="dxa"/>
            <w:right w:w="108" w:type="dxa"/>
          </w:tblCellMar>
        </w:tblPrEx>
        <w:trPr>
          <w:trHeight w:val="400" w:hRule="atLeast"/>
        </w:trPr>
        <w:tc>
          <w:tcPr>
            <w:tcW w:w="588" w:type="pct"/>
            <w:tcBorders>
              <w:top w:val="single" w:color="000000" w:sz="4" w:space="0"/>
              <w:left w:val="nil"/>
              <w:bottom w:val="single" w:color="000000" w:sz="4" w:space="0"/>
              <w:right w:val="dashSmallGap" w:color="auto" w:sz="4" w:space="0"/>
            </w:tcBorders>
            <w:shd w:val="clear" w:color="auto" w:fill="auto"/>
            <w:noWrap/>
            <w:vAlign w:val="center"/>
          </w:tcPr>
          <w:p w14:paraId="1CD057C8">
            <w:pPr>
              <w:keepNext w:val="0"/>
              <w:keepLines w:val="0"/>
              <w:pageBreakBefore w:val="0"/>
              <w:widowControl w:val="0"/>
              <w:suppressLineNumbers w:val="0"/>
              <w:kinsoku/>
              <w:wordWrap/>
              <w:overflowPunct/>
              <w:topLinePunct w:val="0"/>
              <w:autoSpaceDE/>
              <w:autoSpaceDN/>
              <w:bidi w:val="0"/>
              <w:adjustRightInd/>
              <w:snapToGrid/>
              <w:spacing w:before="0" w:after="0" w:line="240" w:lineRule="auto"/>
              <w:ind w:left="0" w:leftChars="0" w:right="0" w:firstLine="240" w:firstLineChars="1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3</w:t>
            </w:r>
          </w:p>
        </w:tc>
        <w:tc>
          <w:tcPr>
            <w:tcW w:w="2098" w:type="pct"/>
            <w:tcBorders>
              <w:top w:val="single" w:color="000000" w:sz="4" w:space="0"/>
              <w:left w:val="dashSmallGap" w:color="auto" w:sz="4" w:space="0"/>
              <w:bottom w:val="single" w:color="000000" w:sz="4" w:space="0"/>
              <w:right w:val="dashSmallGap" w:color="auto" w:sz="4" w:space="0"/>
            </w:tcBorders>
            <w:shd w:val="clear" w:color="auto" w:fill="auto"/>
            <w:noWrap/>
            <w:vAlign w:val="center"/>
          </w:tcPr>
          <w:p w14:paraId="6EF85C6A">
            <w:pPr>
              <w:keepNext w:val="0"/>
              <w:keepLines w:val="0"/>
              <w:pageBreakBefore w:val="0"/>
              <w:widowControl w:val="0"/>
              <w:suppressLineNumbers w:val="0"/>
              <w:kinsoku/>
              <w:wordWrap/>
              <w:overflowPunct/>
              <w:topLinePunct w:val="0"/>
              <w:autoSpaceDE/>
              <w:autoSpaceDN/>
              <w:bidi w:val="0"/>
              <w:adjustRightInd/>
              <w:snapToGrid/>
              <w:spacing w:before="0" w:after="0" w:line="240" w:lineRule="auto"/>
              <w:ind w:left="0" w:right="0" w:firstLine="480"/>
              <w:jc w:val="center"/>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rPr>
              <w:t>上海</w:t>
            </w:r>
            <w:r>
              <w:rPr>
                <w:rFonts w:hint="eastAsia" w:cs="Times New Roman"/>
                <w:color w:val="auto"/>
                <w:sz w:val="24"/>
                <w:szCs w:val="24"/>
                <w:lang w:val="en-US" w:eastAsia="zh-CN"/>
              </w:rPr>
              <w:t>2</w:t>
            </w:r>
          </w:p>
        </w:tc>
        <w:tc>
          <w:tcPr>
            <w:tcW w:w="2313" w:type="pct"/>
            <w:tcBorders>
              <w:top w:val="single" w:color="000000" w:sz="4" w:space="0"/>
              <w:left w:val="dashSmallGap" w:color="auto" w:sz="4" w:space="0"/>
              <w:bottom w:val="single" w:color="000000" w:sz="4" w:space="0"/>
              <w:right w:val="dashSmallGap" w:color="auto" w:sz="4" w:space="0"/>
            </w:tcBorders>
            <w:shd w:val="clear" w:color="auto" w:fill="auto"/>
            <w:noWrap/>
            <w:vAlign w:val="center"/>
          </w:tcPr>
          <w:p w14:paraId="5BB8C355">
            <w:pPr>
              <w:keepNext w:val="0"/>
              <w:keepLines w:val="0"/>
              <w:pageBreakBefore w:val="0"/>
              <w:widowControl w:val="0"/>
              <w:suppressLineNumbers w:val="0"/>
              <w:kinsoku/>
              <w:wordWrap/>
              <w:overflowPunct/>
              <w:topLinePunct w:val="0"/>
              <w:autoSpaceDE/>
              <w:autoSpaceDN/>
              <w:bidi w:val="0"/>
              <w:adjustRightInd/>
              <w:snapToGrid/>
              <w:spacing w:before="0" w:after="0" w:line="240" w:lineRule="auto"/>
              <w:ind w:left="0" w:right="0" w:firstLine="480"/>
              <w:jc w:val="center"/>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6.87</w:t>
            </w:r>
          </w:p>
        </w:tc>
      </w:tr>
      <w:tr w14:paraId="73E3BE48">
        <w:tblPrEx>
          <w:tblCellMar>
            <w:top w:w="0" w:type="dxa"/>
            <w:left w:w="108" w:type="dxa"/>
            <w:bottom w:w="0" w:type="dxa"/>
            <w:right w:w="108" w:type="dxa"/>
          </w:tblCellMar>
        </w:tblPrEx>
        <w:trPr>
          <w:trHeight w:val="400" w:hRule="atLeast"/>
        </w:trPr>
        <w:tc>
          <w:tcPr>
            <w:tcW w:w="588" w:type="pct"/>
            <w:tcBorders>
              <w:top w:val="single" w:color="000000" w:sz="4" w:space="0"/>
              <w:left w:val="nil"/>
              <w:bottom w:val="single" w:color="000000" w:sz="4" w:space="0"/>
              <w:right w:val="dashSmallGap" w:color="auto" w:sz="4" w:space="0"/>
            </w:tcBorders>
            <w:shd w:val="clear" w:color="auto" w:fill="auto"/>
            <w:noWrap/>
            <w:vAlign w:val="center"/>
          </w:tcPr>
          <w:p w14:paraId="4FACC571">
            <w:pPr>
              <w:keepNext w:val="0"/>
              <w:keepLines w:val="0"/>
              <w:pageBreakBefore w:val="0"/>
              <w:widowControl w:val="0"/>
              <w:suppressLineNumbers w:val="0"/>
              <w:kinsoku/>
              <w:wordWrap/>
              <w:overflowPunct/>
              <w:topLinePunct w:val="0"/>
              <w:autoSpaceDE/>
              <w:autoSpaceDN/>
              <w:bidi w:val="0"/>
              <w:adjustRightInd/>
              <w:snapToGrid/>
              <w:spacing w:before="0" w:after="0" w:line="240" w:lineRule="auto"/>
              <w:ind w:left="0" w:leftChars="0" w:right="0" w:firstLine="240" w:firstLineChars="1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4</w:t>
            </w:r>
          </w:p>
        </w:tc>
        <w:tc>
          <w:tcPr>
            <w:tcW w:w="2098" w:type="pct"/>
            <w:tcBorders>
              <w:top w:val="single" w:color="000000" w:sz="4" w:space="0"/>
              <w:left w:val="dashSmallGap" w:color="auto" w:sz="4" w:space="0"/>
              <w:bottom w:val="single" w:color="000000" w:sz="4" w:space="0"/>
              <w:right w:val="dashSmallGap" w:color="auto" w:sz="4" w:space="0"/>
            </w:tcBorders>
            <w:shd w:val="clear" w:color="auto" w:fill="auto"/>
            <w:noWrap/>
            <w:vAlign w:val="center"/>
          </w:tcPr>
          <w:p w14:paraId="5FEDC88B">
            <w:pPr>
              <w:keepNext w:val="0"/>
              <w:keepLines w:val="0"/>
              <w:pageBreakBefore w:val="0"/>
              <w:widowControl w:val="0"/>
              <w:suppressLineNumbers w:val="0"/>
              <w:kinsoku/>
              <w:wordWrap/>
              <w:overflowPunct/>
              <w:topLinePunct w:val="0"/>
              <w:autoSpaceDE/>
              <w:autoSpaceDN/>
              <w:bidi w:val="0"/>
              <w:adjustRightInd/>
              <w:snapToGrid/>
              <w:spacing w:before="0" w:after="0" w:line="240" w:lineRule="auto"/>
              <w:ind w:left="0" w:right="0" w:firstLine="480"/>
              <w:jc w:val="center"/>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rPr>
              <w:t>深圳</w:t>
            </w:r>
          </w:p>
        </w:tc>
        <w:tc>
          <w:tcPr>
            <w:tcW w:w="2313" w:type="pct"/>
            <w:tcBorders>
              <w:top w:val="single" w:color="000000" w:sz="4" w:space="0"/>
              <w:left w:val="dashSmallGap" w:color="auto" w:sz="4" w:space="0"/>
              <w:bottom w:val="single" w:color="000000" w:sz="4" w:space="0"/>
              <w:right w:val="dashSmallGap" w:color="auto" w:sz="4" w:space="0"/>
            </w:tcBorders>
            <w:shd w:val="clear" w:color="auto" w:fill="auto"/>
            <w:noWrap/>
            <w:vAlign w:val="center"/>
          </w:tcPr>
          <w:p w14:paraId="28165A3E">
            <w:pPr>
              <w:keepNext w:val="0"/>
              <w:keepLines w:val="0"/>
              <w:pageBreakBefore w:val="0"/>
              <w:widowControl w:val="0"/>
              <w:suppressLineNumbers w:val="0"/>
              <w:kinsoku/>
              <w:wordWrap/>
              <w:overflowPunct/>
              <w:topLinePunct w:val="0"/>
              <w:autoSpaceDE/>
              <w:autoSpaceDN/>
              <w:bidi w:val="0"/>
              <w:adjustRightInd/>
              <w:snapToGrid/>
              <w:spacing w:before="0" w:after="0" w:line="240" w:lineRule="auto"/>
              <w:ind w:left="0" w:right="0" w:firstLine="480"/>
              <w:jc w:val="center"/>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15.2</w:t>
            </w:r>
          </w:p>
        </w:tc>
      </w:tr>
      <w:tr w14:paraId="269925B1">
        <w:tblPrEx>
          <w:tblCellMar>
            <w:top w:w="0" w:type="dxa"/>
            <w:left w:w="108" w:type="dxa"/>
            <w:bottom w:w="0" w:type="dxa"/>
            <w:right w:w="108" w:type="dxa"/>
          </w:tblCellMar>
        </w:tblPrEx>
        <w:trPr>
          <w:trHeight w:val="400" w:hRule="atLeast"/>
        </w:trPr>
        <w:tc>
          <w:tcPr>
            <w:tcW w:w="588" w:type="pct"/>
            <w:tcBorders>
              <w:top w:val="single" w:color="000000" w:sz="4" w:space="0"/>
              <w:left w:val="nil"/>
              <w:bottom w:val="single" w:color="000000" w:sz="4" w:space="0"/>
              <w:right w:val="dashSmallGap" w:color="auto" w:sz="4" w:space="0"/>
            </w:tcBorders>
            <w:shd w:val="clear" w:color="auto" w:fill="auto"/>
            <w:noWrap/>
            <w:vAlign w:val="center"/>
          </w:tcPr>
          <w:p w14:paraId="633F919E">
            <w:pPr>
              <w:keepNext w:val="0"/>
              <w:keepLines w:val="0"/>
              <w:pageBreakBefore w:val="0"/>
              <w:widowControl w:val="0"/>
              <w:suppressLineNumbers w:val="0"/>
              <w:kinsoku/>
              <w:wordWrap/>
              <w:overflowPunct/>
              <w:topLinePunct w:val="0"/>
              <w:autoSpaceDE/>
              <w:autoSpaceDN/>
              <w:bidi w:val="0"/>
              <w:adjustRightInd/>
              <w:snapToGrid/>
              <w:spacing w:before="0" w:after="0" w:line="240" w:lineRule="auto"/>
              <w:ind w:left="0" w:leftChars="0" w:right="0" w:firstLine="240" w:firstLineChars="100"/>
              <w:jc w:val="both"/>
              <w:textAlignment w:val="auto"/>
              <w:rPr>
                <w:rFonts w:hint="default" w:ascii="Times New Roman" w:hAnsi="Times New Roman" w:cs="Times New Roman" w:eastAsiaTheme="minorEastAsia"/>
                <w:color w:val="auto"/>
                <w:sz w:val="24"/>
                <w:szCs w:val="24"/>
              </w:rPr>
            </w:pPr>
            <w:r>
              <w:rPr>
                <w:rFonts w:hint="default" w:ascii="Times New Roman" w:hAnsi="Times New Roman" w:cs="Times New Roman" w:eastAsiaTheme="minorEastAsia"/>
                <w:color w:val="auto"/>
                <w:sz w:val="24"/>
                <w:szCs w:val="24"/>
              </w:rPr>
              <w:t>5</w:t>
            </w:r>
          </w:p>
        </w:tc>
        <w:tc>
          <w:tcPr>
            <w:tcW w:w="2098" w:type="pct"/>
            <w:tcBorders>
              <w:top w:val="single" w:color="000000" w:sz="4" w:space="0"/>
              <w:left w:val="dashSmallGap" w:color="auto" w:sz="4" w:space="0"/>
              <w:bottom w:val="single" w:color="000000" w:sz="4" w:space="0"/>
              <w:right w:val="dashSmallGap" w:color="auto" w:sz="4" w:space="0"/>
            </w:tcBorders>
            <w:shd w:val="clear" w:color="auto" w:fill="auto"/>
            <w:noWrap/>
            <w:vAlign w:val="center"/>
          </w:tcPr>
          <w:p w14:paraId="66714456">
            <w:pPr>
              <w:keepNext w:val="0"/>
              <w:keepLines w:val="0"/>
              <w:pageBreakBefore w:val="0"/>
              <w:widowControl w:val="0"/>
              <w:suppressLineNumbers w:val="0"/>
              <w:kinsoku/>
              <w:wordWrap/>
              <w:overflowPunct/>
              <w:topLinePunct w:val="0"/>
              <w:autoSpaceDE/>
              <w:autoSpaceDN/>
              <w:bidi w:val="0"/>
              <w:adjustRightInd/>
              <w:snapToGrid/>
              <w:spacing w:before="0" w:after="0" w:line="240" w:lineRule="auto"/>
              <w:ind w:left="0" w:right="0" w:firstLine="480"/>
              <w:jc w:val="center"/>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rPr>
              <w:t>济南</w:t>
            </w:r>
          </w:p>
        </w:tc>
        <w:tc>
          <w:tcPr>
            <w:tcW w:w="2313" w:type="pct"/>
            <w:tcBorders>
              <w:top w:val="single" w:color="000000" w:sz="4" w:space="0"/>
              <w:left w:val="dashSmallGap" w:color="auto" w:sz="4" w:space="0"/>
              <w:bottom w:val="single" w:color="000000" w:sz="4" w:space="0"/>
              <w:right w:val="dashSmallGap" w:color="auto" w:sz="4" w:space="0"/>
            </w:tcBorders>
            <w:shd w:val="clear" w:color="auto" w:fill="auto"/>
            <w:noWrap/>
            <w:vAlign w:val="center"/>
          </w:tcPr>
          <w:p w14:paraId="02F88E09">
            <w:pPr>
              <w:keepNext w:val="0"/>
              <w:keepLines w:val="0"/>
              <w:pageBreakBefore w:val="0"/>
              <w:widowControl w:val="0"/>
              <w:suppressLineNumbers w:val="0"/>
              <w:kinsoku/>
              <w:wordWrap/>
              <w:overflowPunct/>
              <w:topLinePunct w:val="0"/>
              <w:autoSpaceDE/>
              <w:autoSpaceDN/>
              <w:bidi w:val="0"/>
              <w:adjustRightInd/>
              <w:snapToGrid/>
              <w:spacing w:before="0" w:after="0" w:line="240" w:lineRule="auto"/>
              <w:ind w:left="0" w:right="0" w:firstLine="480"/>
              <w:jc w:val="center"/>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2.96</w:t>
            </w:r>
          </w:p>
        </w:tc>
      </w:tr>
      <w:tr w14:paraId="2E42ADE6">
        <w:tblPrEx>
          <w:tblCellMar>
            <w:top w:w="0" w:type="dxa"/>
            <w:left w:w="108" w:type="dxa"/>
            <w:bottom w:w="0" w:type="dxa"/>
            <w:right w:w="108" w:type="dxa"/>
          </w:tblCellMar>
        </w:tblPrEx>
        <w:trPr>
          <w:trHeight w:val="400" w:hRule="atLeast"/>
        </w:trPr>
        <w:tc>
          <w:tcPr>
            <w:tcW w:w="588" w:type="pct"/>
            <w:tcBorders>
              <w:top w:val="single" w:color="000000" w:sz="4" w:space="0"/>
              <w:left w:val="nil"/>
              <w:bottom w:val="single" w:color="000000" w:sz="4" w:space="0"/>
              <w:right w:val="dashSmallGap" w:color="auto" w:sz="4" w:space="0"/>
            </w:tcBorders>
            <w:shd w:val="clear" w:color="auto" w:fill="auto"/>
            <w:noWrap/>
            <w:vAlign w:val="center"/>
          </w:tcPr>
          <w:p w14:paraId="058848C6">
            <w:pPr>
              <w:keepNext w:val="0"/>
              <w:keepLines w:val="0"/>
              <w:pageBreakBefore w:val="0"/>
              <w:widowControl w:val="0"/>
              <w:suppressLineNumbers w:val="0"/>
              <w:kinsoku/>
              <w:wordWrap/>
              <w:overflowPunct/>
              <w:topLinePunct w:val="0"/>
              <w:autoSpaceDE/>
              <w:autoSpaceDN/>
              <w:bidi w:val="0"/>
              <w:adjustRightInd/>
              <w:snapToGrid/>
              <w:spacing w:before="0" w:after="0" w:line="240" w:lineRule="auto"/>
              <w:ind w:left="0" w:leftChars="0" w:right="0" w:firstLine="240" w:firstLineChars="100"/>
              <w:jc w:val="both"/>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6</w:t>
            </w:r>
          </w:p>
        </w:tc>
        <w:tc>
          <w:tcPr>
            <w:tcW w:w="2098" w:type="pct"/>
            <w:tcBorders>
              <w:top w:val="single" w:color="000000" w:sz="4" w:space="0"/>
              <w:left w:val="dashSmallGap" w:color="auto" w:sz="4" w:space="0"/>
              <w:bottom w:val="single" w:color="000000" w:sz="4" w:space="0"/>
              <w:right w:val="dashSmallGap" w:color="auto" w:sz="4" w:space="0"/>
            </w:tcBorders>
            <w:shd w:val="clear" w:color="auto" w:fill="auto"/>
            <w:noWrap/>
            <w:vAlign w:val="center"/>
          </w:tcPr>
          <w:p w14:paraId="236D9F06">
            <w:pPr>
              <w:keepNext w:val="0"/>
              <w:keepLines w:val="0"/>
              <w:pageBreakBefore w:val="0"/>
              <w:widowControl w:val="0"/>
              <w:suppressLineNumbers w:val="0"/>
              <w:kinsoku/>
              <w:wordWrap/>
              <w:overflowPunct/>
              <w:topLinePunct w:val="0"/>
              <w:autoSpaceDE/>
              <w:autoSpaceDN/>
              <w:bidi w:val="0"/>
              <w:adjustRightInd/>
              <w:snapToGrid/>
              <w:spacing w:before="0" w:after="0" w:line="240" w:lineRule="auto"/>
              <w:ind w:left="0" w:right="0" w:firstLine="480"/>
              <w:jc w:val="center"/>
              <w:textAlignment w:val="auto"/>
              <w:rPr>
                <w:rFonts w:hint="default" w:ascii="Times New Roman" w:hAnsi="Times New Roman" w:cs="Times New Roman" w:eastAsiaTheme="minorEastAsia"/>
                <w:color w:val="auto"/>
                <w:sz w:val="24"/>
                <w:szCs w:val="24"/>
                <w:lang w:val="en-US" w:eastAsia="zh-CN"/>
              </w:rPr>
            </w:pPr>
            <w:r>
              <w:rPr>
                <w:rFonts w:hint="eastAsia" w:ascii="Times New Roman" w:hAnsi="Times New Roman" w:cs="Times New Roman" w:eastAsiaTheme="minorEastAsia"/>
                <w:color w:val="auto"/>
                <w:sz w:val="24"/>
                <w:szCs w:val="24"/>
                <w:lang w:val="en-US" w:eastAsia="zh-CN"/>
              </w:rPr>
              <w:t>江</w:t>
            </w:r>
            <w:r>
              <w:rPr>
                <w:rFonts w:hint="default" w:ascii="Times New Roman" w:hAnsi="Times New Roman" w:cs="Times New Roman" w:eastAsiaTheme="minorEastAsia"/>
                <w:color w:val="auto"/>
                <w:sz w:val="24"/>
                <w:szCs w:val="24"/>
              </w:rPr>
              <w:t>阴</w:t>
            </w:r>
          </w:p>
        </w:tc>
        <w:tc>
          <w:tcPr>
            <w:tcW w:w="2313" w:type="pct"/>
            <w:tcBorders>
              <w:top w:val="single" w:color="000000" w:sz="4" w:space="0"/>
              <w:left w:val="dashSmallGap" w:color="auto" w:sz="4" w:space="0"/>
              <w:bottom w:val="single" w:color="000000" w:sz="4" w:space="0"/>
              <w:right w:val="dashSmallGap" w:color="auto" w:sz="4" w:space="0"/>
            </w:tcBorders>
            <w:shd w:val="clear" w:color="auto" w:fill="auto"/>
            <w:noWrap/>
            <w:vAlign w:val="center"/>
          </w:tcPr>
          <w:p w14:paraId="405F3FF8">
            <w:pPr>
              <w:keepNext w:val="0"/>
              <w:keepLines w:val="0"/>
              <w:pageBreakBefore w:val="0"/>
              <w:widowControl w:val="0"/>
              <w:suppressLineNumbers w:val="0"/>
              <w:kinsoku/>
              <w:wordWrap/>
              <w:overflowPunct/>
              <w:topLinePunct w:val="0"/>
              <w:autoSpaceDE/>
              <w:autoSpaceDN/>
              <w:bidi w:val="0"/>
              <w:adjustRightInd/>
              <w:snapToGrid/>
              <w:spacing w:before="0" w:after="0" w:line="240" w:lineRule="auto"/>
              <w:ind w:left="0" w:right="0" w:firstLine="480"/>
              <w:jc w:val="center"/>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5.12</w:t>
            </w:r>
          </w:p>
        </w:tc>
      </w:tr>
      <w:tr w14:paraId="1B8D4D65">
        <w:tblPrEx>
          <w:tblCellMar>
            <w:top w:w="0" w:type="dxa"/>
            <w:left w:w="108" w:type="dxa"/>
            <w:bottom w:w="0" w:type="dxa"/>
            <w:right w:w="108" w:type="dxa"/>
          </w:tblCellMar>
        </w:tblPrEx>
        <w:trPr>
          <w:trHeight w:val="400" w:hRule="atLeast"/>
        </w:trPr>
        <w:tc>
          <w:tcPr>
            <w:tcW w:w="588" w:type="pct"/>
            <w:tcBorders>
              <w:top w:val="single" w:color="auto" w:sz="4" w:space="0"/>
              <w:left w:val="nil"/>
              <w:bottom w:val="single" w:color="auto" w:sz="12" w:space="0"/>
              <w:right w:val="dashSmallGap" w:color="auto" w:sz="4" w:space="0"/>
            </w:tcBorders>
            <w:shd w:val="clear" w:color="auto" w:fill="auto"/>
            <w:noWrap/>
            <w:vAlign w:val="center"/>
          </w:tcPr>
          <w:p w14:paraId="43518B69">
            <w:pPr>
              <w:keepNext w:val="0"/>
              <w:keepLines w:val="0"/>
              <w:pageBreakBefore w:val="0"/>
              <w:widowControl w:val="0"/>
              <w:suppressLineNumbers w:val="0"/>
              <w:kinsoku/>
              <w:wordWrap/>
              <w:overflowPunct/>
              <w:topLinePunct w:val="0"/>
              <w:autoSpaceDE/>
              <w:autoSpaceDN/>
              <w:bidi w:val="0"/>
              <w:adjustRightInd/>
              <w:snapToGrid/>
              <w:spacing w:before="0" w:after="0" w:line="240" w:lineRule="auto"/>
              <w:ind w:left="0" w:leftChars="0" w:right="0" w:firstLine="240" w:firstLineChars="100"/>
              <w:jc w:val="both"/>
              <w:textAlignment w:val="auto"/>
              <w:rPr>
                <w:rFonts w:hint="default" w:ascii="Times New Roman" w:hAnsi="Times New Roman" w:cs="Times New Roman" w:eastAsiaTheme="minorEastAsia"/>
                <w:color w:val="auto"/>
                <w:sz w:val="24"/>
                <w:szCs w:val="24"/>
                <w:lang w:eastAsia="zh-CN"/>
              </w:rPr>
            </w:pPr>
            <w:r>
              <w:rPr>
                <w:rFonts w:hint="default" w:ascii="Times New Roman" w:hAnsi="Times New Roman" w:cs="Times New Roman" w:eastAsiaTheme="minorEastAsia"/>
                <w:color w:val="auto"/>
                <w:sz w:val="24"/>
                <w:szCs w:val="24"/>
                <w:lang w:val="en-US" w:eastAsia="zh-CN"/>
              </w:rPr>
              <w:t>7</w:t>
            </w:r>
          </w:p>
        </w:tc>
        <w:tc>
          <w:tcPr>
            <w:tcW w:w="2098" w:type="pct"/>
            <w:tcBorders>
              <w:top w:val="single" w:color="auto" w:sz="4" w:space="0"/>
              <w:left w:val="dashSmallGap" w:color="auto" w:sz="4" w:space="0"/>
              <w:bottom w:val="single" w:color="auto" w:sz="12" w:space="0"/>
              <w:right w:val="dashSmallGap" w:color="auto" w:sz="4" w:space="0"/>
            </w:tcBorders>
            <w:shd w:val="clear" w:color="auto" w:fill="auto"/>
            <w:noWrap/>
            <w:vAlign w:val="center"/>
          </w:tcPr>
          <w:p w14:paraId="68451760">
            <w:pPr>
              <w:keepNext w:val="0"/>
              <w:keepLines w:val="0"/>
              <w:pageBreakBefore w:val="0"/>
              <w:widowControl w:val="0"/>
              <w:suppressLineNumbers w:val="0"/>
              <w:kinsoku/>
              <w:wordWrap/>
              <w:overflowPunct/>
              <w:topLinePunct w:val="0"/>
              <w:autoSpaceDE/>
              <w:autoSpaceDN/>
              <w:bidi w:val="0"/>
              <w:adjustRightInd/>
              <w:snapToGrid/>
              <w:spacing w:before="0" w:after="0" w:line="240" w:lineRule="auto"/>
              <w:ind w:left="0" w:right="0" w:firstLine="480"/>
              <w:jc w:val="center"/>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平均值</w:t>
            </w:r>
          </w:p>
        </w:tc>
        <w:tc>
          <w:tcPr>
            <w:tcW w:w="2313" w:type="pct"/>
            <w:tcBorders>
              <w:top w:val="single" w:color="auto" w:sz="4" w:space="0"/>
              <w:left w:val="dashSmallGap" w:color="auto" w:sz="4" w:space="0"/>
              <w:bottom w:val="single" w:color="auto" w:sz="12" w:space="0"/>
              <w:right w:val="dashSmallGap" w:color="auto" w:sz="4" w:space="0"/>
            </w:tcBorders>
            <w:shd w:val="clear" w:color="auto" w:fill="auto"/>
            <w:noWrap/>
            <w:vAlign w:val="center"/>
          </w:tcPr>
          <w:p w14:paraId="5B551999">
            <w:pPr>
              <w:keepNext w:val="0"/>
              <w:keepLines w:val="0"/>
              <w:pageBreakBefore w:val="0"/>
              <w:widowControl w:val="0"/>
              <w:suppressLineNumbers w:val="0"/>
              <w:kinsoku/>
              <w:wordWrap/>
              <w:overflowPunct/>
              <w:topLinePunct w:val="0"/>
              <w:autoSpaceDE/>
              <w:autoSpaceDN/>
              <w:bidi w:val="0"/>
              <w:adjustRightInd/>
              <w:snapToGrid/>
              <w:spacing w:before="0" w:after="0" w:line="240" w:lineRule="auto"/>
              <w:ind w:left="0" w:right="0" w:firstLine="480"/>
              <w:jc w:val="center"/>
              <w:textAlignment w:val="auto"/>
              <w:rPr>
                <w:rFonts w:hint="default" w:ascii="Times New Roman" w:hAnsi="Times New Roman" w:cs="Times New Roman" w:eastAsiaTheme="minorEastAsia"/>
                <w:color w:val="auto"/>
                <w:sz w:val="24"/>
                <w:szCs w:val="24"/>
                <w:lang w:val="en-US" w:eastAsia="zh-CN"/>
              </w:rPr>
            </w:pPr>
            <w:r>
              <w:rPr>
                <w:rFonts w:hint="default" w:ascii="Times New Roman" w:hAnsi="Times New Roman" w:cs="Times New Roman" w:eastAsiaTheme="minorEastAsia"/>
                <w:color w:val="auto"/>
                <w:sz w:val="24"/>
                <w:szCs w:val="24"/>
                <w:lang w:val="en-US" w:eastAsia="zh-CN"/>
              </w:rPr>
              <w:t>6.</w:t>
            </w:r>
            <w:r>
              <w:rPr>
                <w:rFonts w:hint="eastAsia" w:ascii="Times New Roman" w:hAnsi="Times New Roman" w:cs="Times New Roman" w:eastAsiaTheme="minorEastAsia"/>
                <w:color w:val="auto"/>
                <w:sz w:val="24"/>
                <w:szCs w:val="24"/>
                <w:lang w:val="en-US" w:eastAsia="zh-CN"/>
              </w:rPr>
              <w:t>9</w:t>
            </w:r>
            <w:r>
              <w:rPr>
                <w:rFonts w:hint="default" w:ascii="Times New Roman" w:hAnsi="Times New Roman" w:cs="Times New Roman" w:eastAsiaTheme="minorEastAsia"/>
                <w:color w:val="auto"/>
                <w:sz w:val="24"/>
                <w:szCs w:val="24"/>
                <w:lang w:val="en-US" w:eastAsia="zh-CN"/>
              </w:rPr>
              <w:t>2</w:t>
            </w:r>
          </w:p>
        </w:tc>
      </w:tr>
    </w:tbl>
    <w:p w14:paraId="3A8D94B9">
      <w:pPr>
        <w:pStyle w:val="107"/>
        <w:numPr>
          <w:ilvl w:val="2"/>
          <w:numId w:val="0"/>
        </w:numPr>
        <w:rPr>
          <w:rFonts w:hint="eastAsia"/>
          <w:color w:val="auto"/>
        </w:rPr>
      </w:pPr>
      <w:r>
        <w:rPr>
          <w:rFonts w:hint="eastAsia"/>
          <w:color w:val="auto"/>
        </w:rPr>
        <w:t>A.1.2</w:t>
      </w:r>
      <w:r>
        <w:rPr>
          <w:rFonts w:hint="eastAsia"/>
          <w:color w:val="auto"/>
        </w:rPr>
        <w:tab/>
      </w:r>
      <w:r>
        <w:rPr>
          <w:rFonts w:hint="eastAsia"/>
          <w:color w:val="auto"/>
        </w:rPr>
        <w:t>氧化亚氮排放因子设计</w:t>
      </w:r>
    </w:p>
    <w:p w14:paraId="25F32646">
      <w:pPr>
        <w:bidi w:val="0"/>
        <w:rPr>
          <w:rFonts w:hint="eastAsia"/>
          <w:lang w:val="en-US" w:eastAsia="zh-CN"/>
        </w:rPr>
      </w:pPr>
      <w:r>
        <w:rPr>
          <w:rFonts w:hint="eastAsia"/>
          <w:lang w:val="en-US" w:eastAsia="zh-CN"/>
        </w:rPr>
        <w:t>联合国政府间气候变化专门委员会（IPCC）、美国国家环境保护局（EPA）等权威机构已相继发布了方法学指南和温室气体核算报告，为全球温室气体排放核算提供了重要参考。任智勇等学者针对不同类型的活性污泥工艺开展了深入研究，提出了不同工艺类型下氧化亚氮（N</w:t>
      </w:r>
      <w:r>
        <w:rPr>
          <w:rFonts w:hint="eastAsia"/>
          <w:vertAlign w:val="subscript"/>
          <w:lang w:val="en-US" w:eastAsia="zh-CN"/>
        </w:rPr>
        <w:t>2</w:t>
      </w:r>
      <w:r>
        <w:rPr>
          <w:rFonts w:hint="eastAsia"/>
          <w:lang w:val="en-US" w:eastAsia="zh-CN"/>
        </w:rPr>
        <w:t>O）的排放强度范围。然而，由于氧化亚氮产生和排放机制的复杂性，不同类型工艺的排放因子存在较大的不确定性。此外，目前对氧化亚氮排放的研究仍不充分，尚不具备全面区分活性污泥细分工艺氧化亚氮排放因子的条件。</w:t>
      </w:r>
    </w:p>
    <w:p w14:paraId="1C6E1DBE">
      <w:pPr>
        <w:bidi w:val="0"/>
        <w:rPr>
          <w:rFonts w:hint="eastAsia"/>
          <w:lang w:val="en-US" w:eastAsia="zh-CN"/>
        </w:rPr>
      </w:pPr>
      <w:r>
        <w:rPr>
          <w:rFonts w:hint="eastAsia"/>
          <w:lang w:val="en-US" w:eastAsia="zh-CN"/>
        </w:rPr>
        <w:t>基于此，本标准在确定氧化亚氮排放因子时遵循以下原则：</w:t>
      </w:r>
    </w:p>
    <w:p w14:paraId="3578B401">
      <w:pPr>
        <w:bidi w:val="0"/>
        <w:rPr>
          <w:rFonts w:hint="eastAsia"/>
          <w:lang w:val="en-US" w:eastAsia="zh-CN"/>
        </w:rPr>
      </w:pPr>
      <w:r>
        <w:rPr>
          <w:rFonts w:hint="eastAsia"/>
          <w:b/>
          <w:bCs/>
          <w:lang w:val="en-US" w:eastAsia="zh-CN"/>
        </w:rPr>
        <w:t>符合产排机理：</w:t>
      </w:r>
      <w:r>
        <w:rPr>
          <w:rFonts w:hint="eastAsia"/>
          <w:lang w:val="en-US" w:eastAsia="zh-CN"/>
        </w:rPr>
        <w:t>工艺类型的排放强度需与氧化亚氮的产生和排放机理相一致；</w:t>
      </w:r>
    </w:p>
    <w:p w14:paraId="543CCF33">
      <w:pPr>
        <w:bidi w:val="0"/>
        <w:rPr>
          <w:rFonts w:hint="eastAsia"/>
          <w:lang w:val="en-US" w:eastAsia="zh-CN"/>
        </w:rPr>
      </w:pPr>
      <w:r>
        <w:rPr>
          <w:rFonts w:hint="eastAsia"/>
          <w:b/>
          <w:bCs/>
          <w:lang w:val="en-US" w:eastAsia="zh-CN"/>
        </w:rPr>
        <w:t>具备数据支持：</w:t>
      </w:r>
      <w:r>
        <w:rPr>
          <w:rFonts w:hint="eastAsia"/>
          <w:lang w:val="en-US" w:eastAsia="zh-CN"/>
        </w:rPr>
        <w:t>排放因子的数值需基于国内实测项目数据的支持；</w:t>
      </w:r>
    </w:p>
    <w:p w14:paraId="77FB5B65">
      <w:pPr>
        <w:bidi w:val="0"/>
        <w:rPr>
          <w:rFonts w:hint="eastAsia"/>
          <w:lang w:val="en-US" w:eastAsia="zh-CN"/>
        </w:rPr>
      </w:pPr>
      <w:r>
        <w:rPr>
          <w:rFonts w:hint="eastAsia"/>
          <w:b/>
          <w:bCs/>
          <w:lang w:val="en-US" w:eastAsia="zh-CN"/>
        </w:rPr>
        <w:t>覆盖主要工艺：</w:t>
      </w:r>
      <w:r>
        <w:rPr>
          <w:rFonts w:hint="eastAsia"/>
          <w:lang w:val="en-US" w:eastAsia="zh-CN"/>
        </w:rPr>
        <w:t>所选工艺类型需覆盖污水处理领域的主要工艺类型，以确保标准的广泛适用性。</w:t>
      </w:r>
    </w:p>
    <w:p w14:paraId="76CE0789">
      <w:pPr>
        <w:bidi w:val="0"/>
        <w:rPr>
          <w:rFonts w:hint="eastAsia"/>
          <w:lang w:val="en-US" w:eastAsia="zh-CN"/>
        </w:rPr>
      </w:pPr>
    </w:p>
    <w:p w14:paraId="50EEF09E">
      <w:pPr>
        <w:bidi w:val="0"/>
        <w:rPr>
          <w:rFonts w:hint="eastAsia"/>
          <w:lang w:val="en-US" w:eastAsia="zh-CN"/>
        </w:rPr>
      </w:pPr>
      <w:r>
        <w:rPr>
          <w:rFonts w:hint="eastAsia"/>
          <w:lang w:val="en-US" w:eastAsia="zh-CN"/>
        </w:rPr>
        <w:t>综上，本标准按照推流式活性污泥工艺、完全混合式污水处理工艺及生物滤池工艺对氧化亚氮因子进行分类。其中：推流式活性污泥工艺包括CAS</w:t>
      </w:r>
      <w:r>
        <w:rPr>
          <w:rFonts w:hint="eastAsia"/>
          <w:highlight w:val="none"/>
          <w:lang w:val="en-US" w:eastAsia="zh-CN"/>
        </w:rPr>
        <w:t>、AAO、AO、r-AAO、多级AO、MBR、SBR、CASS、CAST、Unitank等</w:t>
      </w:r>
      <w:r>
        <w:rPr>
          <w:rFonts w:hint="eastAsia"/>
          <w:lang w:val="en-US" w:eastAsia="zh-CN"/>
        </w:rPr>
        <w:t>；完全混合式活性污泥工艺工艺包括：Carrousel、Orbal等。氧化亚氮排放因子根据</w:t>
      </w:r>
      <w:r>
        <w:rPr>
          <w:rFonts w:hint="eastAsia"/>
        </w:rPr>
        <w:t>生态环境部碳排放监测试点</w:t>
      </w:r>
      <w:r>
        <w:rPr>
          <w:rFonts w:hint="eastAsia"/>
          <w:lang w:val="en-US" w:eastAsia="zh-CN"/>
        </w:rPr>
        <w:t>成果确定</w:t>
      </w:r>
      <w:r>
        <w:rPr>
          <w:rFonts w:hint="eastAsia"/>
        </w:rPr>
        <w:t>。</w:t>
      </w:r>
      <w:r>
        <w:rPr>
          <w:rFonts w:hint="eastAsia"/>
          <w:lang w:val="en-US" w:eastAsia="zh-CN"/>
        </w:rPr>
        <w:t>如</w:t>
      </w:r>
      <w:r>
        <w:rPr>
          <w:rFonts w:hint="default"/>
          <w:lang w:val="en-US" w:eastAsia="zh-CN"/>
        </w:rPr>
        <w:t>表</w:t>
      </w:r>
      <w:r>
        <w:rPr>
          <w:rFonts w:hint="eastAsia"/>
          <w:lang w:val="en-US" w:eastAsia="zh-CN"/>
        </w:rPr>
        <w:t>A.2</w:t>
      </w:r>
      <w:r>
        <w:rPr>
          <w:rFonts w:hint="default"/>
          <w:lang w:val="en-US" w:eastAsia="zh-CN"/>
        </w:rPr>
        <w:t xml:space="preserve"> </w:t>
      </w:r>
      <w:r>
        <w:rPr>
          <w:rFonts w:hint="eastAsia"/>
          <w:lang w:val="en-US" w:eastAsia="zh-CN"/>
        </w:rPr>
        <w:t>所示。</w:t>
      </w:r>
    </w:p>
    <w:p w14:paraId="7F284430">
      <w:pPr>
        <w:bidi w:val="0"/>
        <w:jc w:val="center"/>
        <w:rPr>
          <w:rFonts w:hint="eastAsia"/>
          <w:lang w:val="en-US" w:eastAsia="zh-CN"/>
        </w:rPr>
      </w:pPr>
      <w:r>
        <w:rPr>
          <w:rFonts w:hint="default"/>
          <w:lang w:val="en-US" w:eastAsia="zh-CN"/>
        </w:rPr>
        <w:t>表</w:t>
      </w:r>
      <w:r>
        <w:rPr>
          <w:rFonts w:hint="eastAsia"/>
          <w:lang w:val="en-US" w:eastAsia="zh-CN"/>
        </w:rPr>
        <w:t>A.2</w:t>
      </w:r>
      <w:r>
        <w:rPr>
          <w:rFonts w:hint="default"/>
          <w:lang w:val="en-US" w:eastAsia="zh-CN"/>
        </w:rPr>
        <w:t xml:space="preserve"> </w:t>
      </w:r>
      <w:r>
        <w:rPr>
          <w:rFonts w:hint="eastAsia"/>
        </w:rPr>
        <w:t xml:space="preserve"> </w:t>
      </w:r>
      <w:r>
        <w:rPr>
          <w:rFonts w:hint="eastAsia"/>
          <w:lang w:val="en-US" w:eastAsia="zh-CN"/>
        </w:rPr>
        <w:t>推流式活性污泥处理设施氧化亚氮排放</w:t>
      </w:r>
      <w:r>
        <w:rPr>
          <w:rFonts w:hint="eastAsia"/>
        </w:rPr>
        <w:t>因子</w:t>
      </w:r>
    </w:p>
    <w:tbl>
      <w:tblPr>
        <w:tblStyle w:val="88"/>
        <w:tblW w:w="4998" w:type="pct"/>
        <w:tblInd w:w="0" w:type="dxa"/>
        <w:tblLayout w:type="autofit"/>
        <w:tblCellMar>
          <w:top w:w="0" w:type="dxa"/>
          <w:left w:w="108" w:type="dxa"/>
          <w:bottom w:w="0" w:type="dxa"/>
          <w:right w:w="108" w:type="dxa"/>
        </w:tblCellMar>
      </w:tblPr>
      <w:tblGrid>
        <w:gridCol w:w="1700"/>
        <w:gridCol w:w="3411"/>
        <w:gridCol w:w="3414"/>
      </w:tblGrid>
      <w:tr w14:paraId="3E4DBBE3">
        <w:tblPrEx>
          <w:tblCellMar>
            <w:top w:w="0" w:type="dxa"/>
            <w:left w:w="108" w:type="dxa"/>
            <w:bottom w:w="0" w:type="dxa"/>
            <w:right w:w="108" w:type="dxa"/>
          </w:tblCellMar>
        </w:tblPrEx>
        <w:trPr>
          <w:trHeight w:val="400" w:hRule="atLeast"/>
        </w:trPr>
        <w:tc>
          <w:tcPr>
            <w:tcW w:w="997" w:type="pct"/>
            <w:tcBorders>
              <w:top w:val="single" w:color="auto" w:sz="12" w:space="0"/>
              <w:left w:val="nil"/>
              <w:bottom w:val="single" w:color="auto" w:sz="12" w:space="0"/>
              <w:right w:val="dashSmallGap" w:color="auto" w:sz="4" w:space="0"/>
            </w:tcBorders>
            <w:shd w:val="clear" w:color="auto" w:fill="E7E6E6" w:themeFill="background2"/>
            <w:noWrap/>
            <w:vAlign w:val="center"/>
          </w:tcPr>
          <w:p w14:paraId="328C4A71">
            <w:pPr>
              <w:keepNext w:val="0"/>
              <w:keepLines w:val="0"/>
              <w:pageBreakBefore w:val="0"/>
              <w:suppressLineNumbers w:val="0"/>
              <w:kinsoku/>
              <w:wordWrap/>
              <w:overflowPunct/>
              <w:topLinePunct w:val="0"/>
              <w:autoSpaceDE/>
              <w:autoSpaceDN/>
              <w:bidi w:val="0"/>
              <w:adjustRightInd/>
              <w:snapToGrid/>
              <w:spacing w:before="0" w:after="0" w:line="240" w:lineRule="auto"/>
              <w:ind w:left="0" w:leftChars="0" w:right="0" w:firstLine="0" w:firstLineChars="0"/>
              <w:jc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序号</w:t>
            </w:r>
          </w:p>
        </w:tc>
        <w:tc>
          <w:tcPr>
            <w:tcW w:w="2000" w:type="pct"/>
            <w:tcBorders>
              <w:top w:val="single" w:color="auto" w:sz="12" w:space="0"/>
              <w:left w:val="dashSmallGap" w:color="auto" w:sz="4" w:space="0"/>
              <w:bottom w:val="single" w:color="auto" w:sz="12" w:space="0"/>
              <w:right w:val="dashSmallGap" w:color="auto" w:sz="4" w:space="0"/>
            </w:tcBorders>
            <w:shd w:val="clear" w:color="auto" w:fill="E7E6E6" w:themeFill="background2"/>
            <w:noWrap/>
            <w:vAlign w:val="center"/>
          </w:tcPr>
          <w:p w14:paraId="47E33120">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firstLine="0" w:firstLineChars="0"/>
              <w:jc w:val="center"/>
              <w:textAlignment w:val="center"/>
              <w:rPr>
                <w:rFonts w:hint="default" w:ascii="Times New Roman" w:hAnsi="Times New Roman" w:eastAsia="宋体" w:cs="Times New Roman"/>
                <w:color w:val="auto"/>
                <w:sz w:val="24"/>
                <w:szCs w:val="24"/>
              </w:rPr>
            </w:pPr>
            <w:r>
              <w:rPr>
                <w:rStyle w:val="129"/>
                <w:rFonts w:hint="default" w:ascii="Times New Roman" w:hAnsi="Times New Roman" w:eastAsia="宋体" w:cs="Times New Roman"/>
                <w:color w:val="auto"/>
                <w:sz w:val="24"/>
                <w:szCs w:val="24"/>
                <w:lang w:bidi="ar"/>
              </w:rPr>
              <w:t>项目名称</w:t>
            </w:r>
          </w:p>
        </w:tc>
        <w:tc>
          <w:tcPr>
            <w:tcW w:w="2001" w:type="pct"/>
            <w:tcBorders>
              <w:top w:val="single" w:color="auto" w:sz="12" w:space="0"/>
              <w:left w:val="dashSmallGap" w:color="auto" w:sz="4" w:space="0"/>
              <w:bottom w:val="single" w:color="auto" w:sz="12" w:space="0"/>
              <w:right w:val="nil"/>
            </w:tcBorders>
            <w:shd w:val="clear" w:color="auto" w:fill="E7E6E6" w:themeFill="background2"/>
            <w:noWrap/>
            <w:vAlign w:val="center"/>
          </w:tcPr>
          <w:p w14:paraId="67827232">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firstLine="0" w:firstLineChars="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监测数据</w:t>
            </w:r>
            <w:r>
              <w:rPr>
                <w:rStyle w:val="129"/>
                <w:rFonts w:hint="default" w:ascii="Times New Roman" w:hAnsi="Times New Roman" w:eastAsia="宋体" w:cs="Times New Roman"/>
                <w:b/>
                <w:bCs/>
                <w:color w:val="auto"/>
                <w:sz w:val="24"/>
                <w:szCs w:val="24"/>
                <w:lang w:val="en-US" w:eastAsia="zh-CN" w:bidi="ar"/>
              </w:rPr>
              <w:t>（</w:t>
            </w:r>
            <w:r>
              <w:rPr>
                <w:rStyle w:val="129"/>
                <w:rFonts w:hint="default" w:ascii="Times New Roman" w:hAnsi="Times New Roman" w:eastAsia="宋体" w:cs="Times New Roman"/>
                <w:b/>
                <w:bCs/>
                <w:color w:val="auto"/>
                <w:sz w:val="24"/>
                <w:szCs w:val="24"/>
                <w:lang w:bidi="ar"/>
              </w:rPr>
              <w:t>kg</w:t>
            </w:r>
            <w:r>
              <w:rPr>
                <w:rStyle w:val="129"/>
                <w:rFonts w:hint="default" w:ascii="Times New Roman" w:hAnsi="Times New Roman" w:eastAsia="宋体" w:cs="Times New Roman"/>
                <w:b/>
                <w:bCs/>
                <w:color w:val="auto"/>
                <w:sz w:val="24"/>
                <w:szCs w:val="24"/>
                <w:lang w:val="en-US" w:eastAsia="zh-CN" w:bidi="ar"/>
              </w:rPr>
              <w:t xml:space="preserve"> N</w:t>
            </w:r>
            <w:r>
              <w:rPr>
                <w:rStyle w:val="129"/>
                <w:rFonts w:hint="default" w:ascii="Times New Roman" w:hAnsi="Times New Roman" w:eastAsia="宋体" w:cs="Times New Roman"/>
                <w:b/>
                <w:bCs/>
                <w:color w:val="auto"/>
                <w:sz w:val="24"/>
                <w:szCs w:val="24"/>
                <w:vertAlign w:val="subscript"/>
                <w:lang w:val="en-US" w:eastAsia="zh-CN" w:bidi="ar"/>
              </w:rPr>
              <w:t>2</w:t>
            </w:r>
            <w:r>
              <w:rPr>
                <w:rStyle w:val="129"/>
                <w:rFonts w:hint="default" w:ascii="Times New Roman" w:hAnsi="Times New Roman" w:eastAsia="宋体" w:cs="Times New Roman"/>
                <w:b/>
                <w:bCs/>
                <w:color w:val="auto"/>
                <w:sz w:val="24"/>
                <w:szCs w:val="24"/>
                <w:lang w:val="en-US" w:eastAsia="zh-CN" w:bidi="ar"/>
              </w:rPr>
              <w:t>O-N</w:t>
            </w:r>
            <w:r>
              <w:rPr>
                <w:rStyle w:val="129"/>
                <w:rFonts w:hint="default" w:ascii="Times New Roman" w:hAnsi="Times New Roman" w:eastAsia="宋体" w:cs="Times New Roman"/>
                <w:b/>
                <w:bCs/>
                <w:color w:val="auto"/>
                <w:sz w:val="24"/>
                <w:szCs w:val="24"/>
                <w:lang w:bidi="ar"/>
              </w:rPr>
              <w:t>/</w:t>
            </w:r>
            <w:r>
              <w:rPr>
                <w:rStyle w:val="129"/>
                <w:rFonts w:hint="default" w:ascii="Times New Roman" w:hAnsi="Times New Roman" w:eastAsia="宋体" w:cs="Times New Roman"/>
                <w:b/>
                <w:bCs/>
                <w:color w:val="auto"/>
                <w:sz w:val="24"/>
                <w:szCs w:val="24"/>
                <w:lang w:val="en-US" w:eastAsia="zh-CN" w:bidi="ar"/>
              </w:rPr>
              <w:t>t TN</w:t>
            </w:r>
            <w:r>
              <w:rPr>
                <w:rStyle w:val="129"/>
                <w:rFonts w:hint="eastAsia" w:eastAsia="宋体" w:cs="Times New Roman"/>
                <w:b/>
                <w:bCs/>
                <w:color w:val="auto"/>
                <w:sz w:val="24"/>
                <w:szCs w:val="24"/>
                <w:vertAlign w:val="subscript"/>
                <w:lang w:val="en-US" w:eastAsia="zh-CN" w:bidi="ar"/>
              </w:rPr>
              <w:t>Re</w:t>
            </w:r>
            <w:r>
              <w:rPr>
                <w:rStyle w:val="129"/>
                <w:rFonts w:hint="default" w:ascii="Times New Roman" w:hAnsi="Times New Roman" w:eastAsia="宋体" w:cs="Times New Roman"/>
                <w:b/>
                <w:bCs/>
                <w:color w:val="auto"/>
                <w:sz w:val="24"/>
                <w:szCs w:val="24"/>
                <w:lang w:val="en-US" w:eastAsia="zh-CN" w:bidi="ar"/>
              </w:rPr>
              <w:t>）</w:t>
            </w:r>
          </w:p>
        </w:tc>
      </w:tr>
      <w:tr w14:paraId="322E66BB">
        <w:tblPrEx>
          <w:tblCellMar>
            <w:top w:w="0" w:type="dxa"/>
            <w:left w:w="108" w:type="dxa"/>
            <w:bottom w:w="0" w:type="dxa"/>
            <w:right w:w="108" w:type="dxa"/>
          </w:tblCellMar>
        </w:tblPrEx>
        <w:trPr>
          <w:trHeight w:val="400" w:hRule="atLeast"/>
        </w:trPr>
        <w:tc>
          <w:tcPr>
            <w:tcW w:w="997" w:type="pct"/>
            <w:tcBorders>
              <w:top w:val="single" w:color="auto" w:sz="12" w:space="0"/>
              <w:left w:val="nil"/>
              <w:bottom w:val="single" w:color="000000" w:sz="4" w:space="0"/>
              <w:right w:val="dashSmallGap" w:color="auto" w:sz="4" w:space="0"/>
            </w:tcBorders>
            <w:shd w:val="clear" w:color="auto" w:fill="auto"/>
            <w:noWrap/>
            <w:vAlign w:val="center"/>
          </w:tcPr>
          <w:p w14:paraId="65B85250">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firstLine="0" w:firstLineChars="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bidi="ar"/>
              </w:rPr>
              <w:t>1</w:t>
            </w:r>
          </w:p>
        </w:tc>
        <w:tc>
          <w:tcPr>
            <w:tcW w:w="2000" w:type="pct"/>
            <w:tcBorders>
              <w:top w:val="single" w:color="auto" w:sz="12" w:space="0"/>
              <w:left w:val="dashSmallGap" w:color="auto" w:sz="4" w:space="0"/>
              <w:bottom w:val="single" w:color="000000" w:sz="4" w:space="0"/>
              <w:right w:val="dashSmallGap" w:color="auto" w:sz="4" w:space="0"/>
            </w:tcBorders>
            <w:shd w:val="clear" w:color="auto" w:fill="auto"/>
            <w:noWrap/>
            <w:vAlign w:val="center"/>
          </w:tcPr>
          <w:p w14:paraId="3BE3ED41">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firstLine="0" w:firstLineChars="0"/>
              <w:jc w:val="center"/>
              <w:textAlignment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北京</w:t>
            </w:r>
          </w:p>
        </w:tc>
        <w:tc>
          <w:tcPr>
            <w:tcW w:w="2001" w:type="pct"/>
            <w:tcBorders>
              <w:top w:val="single" w:color="auto" w:sz="12" w:space="0"/>
              <w:left w:val="dashSmallGap" w:color="auto" w:sz="4" w:space="0"/>
              <w:bottom w:val="single" w:color="000000" w:sz="4" w:space="0"/>
              <w:right w:val="nil"/>
            </w:tcBorders>
            <w:shd w:val="clear" w:color="auto" w:fill="auto"/>
            <w:noWrap/>
            <w:vAlign w:val="center"/>
          </w:tcPr>
          <w:p w14:paraId="35D97A3A">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firstLine="0" w:firstLineChars="0"/>
              <w:jc w:val="center"/>
              <w:textAlignment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5.20</w:t>
            </w:r>
          </w:p>
        </w:tc>
      </w:tr>
      <w:tr w14:paraId="2975AD52">
        <w:tblPrEx>
          <w:tblCellMar>
            <w:top w:w="0" w:type="dxa"/>
            <w:left w:w="108" w:type="dxa"/>
            <w:bottom w:w="0" w:type="dxa"/>
            <w:right w:w="108" w:type="dxa"/>
          </w:tblCellMar>
        </w:tblPrEx>
        <w:trPr>
          <w:trHeight w:val="400" w:hRule="atLeast"/>
        </w:trPr>
        <w:tc>
          <w:tcPr>
            <w:tcW w:w="997" w:type="pct"/>
            <w:tcBorders>
              <w:top w:val="single" w:color="000000" w:sz="4" w:space="0"/>
              <w:left w:val="nil"/>
              <w:bottom w:val="single" w:color="000000" w:sz="4" w:space="0"/>
              <w:right w:val="dashSmallGap" w:color="auto" w:sz="4" w:space="0"/>
            </w:tcBorders>
            <w:shd w:val="clear" w:color="auto" w:fill="auto"/>
            <w:noWrap/>
            <w:vAlign w:val="center"/>
          </w:tcPr>
          <w:p w14:paraId="153A9A7E">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firstLine="0" w:firstLineChars="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bidi="ar"/>
              </w:rPr>
              <w:t>2</w:t>
            </w:r>
          </w:p>
        </w:tc>
        <w:tc>
          <w:tcPr>
            <w:tcW w:w="2000" w:type="pct"/>
            <w:tcBorders>
              <w:top w:val="single" w:color="000000" w:sz="4" w:space="0"/>
              <w:left w:val="dashSmallGap" w:color="auto" w:sz="4" w:space="0"/>
              <w:bottom w:val="single" w:color="000000" w:sz="4" w:space="0"/>
              <w:right w:val="dashSmallGap" w:color="auto" w:sz="4" w:space="0"/>
            </w:tcBorders>
            <w:shd w:val="clear" w:color="auto" w:fill="auto"/>
            <w:noWrap/>
            <w:vAlign w:val="center"/>
          </w:tcPr>
          <w:p w14:paraId="1317F536">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firstLine="0" w:firstLineChars="0"/>
              <w:jc w:val="center"/>
              <w:textAlignment w:val="center"/>
              <w:rPr>
                <w:rFonts w:hint="default" w:ascii="Times New Roman" w:hAnsi="Times New Roman" w:eastAsia="宋体" w:cs="Times New Roman"/>
                <w:color w:val="auto"/>
                <w:kern w:val="2"/>
                <w:sz w:val="24"/>
                <w:szCs w:val="24"/>
                <w:lang w:val="en-US" w:eastAsia="zh-CN" w:bidi="ar-SA"/>
              </w:rPr>
            </w:pPr>
            <w:r>
              <w:rPr>
                <w:rStyle w:val="129"/>
                <w:rFonts w:hint="default" w:ascii="Times New Roman" w:hAnsi="Times New Roman" w:eastAsia="宋体" w:cs="Times New Roman"/>
                <w:color w:val="auto"/>
                <w:sz w:val="24"/>
                <w:szCs w:val="24"/>
                <w:lang w:bidi="ar"/>
              </w:rPr>
              <w:t>上海</w:t>
            </w:r>
            <w:r>
              <w:rPr>
                <w:rStyle w:val="130"/>
                <w:rFonts w:hint="default" w:ascii="Times New Roman" w:hAnsi="Times New Roman" w:eastAsia="宋体" w:cs="Times New Roman"/>
                <w:color w:val="auto"/>
                <w:sz w:val="24"/>
                <w:szCs w:val="24"/>
                <w:lang w:val="en-US" w:eastAsia="zh-CN" w:bidi="ar"/>
              </w:rPr>
              <w:t>A</w:t>
            </w:r>
          </w:p>
        </w:tc>
        <w:tc>
          <w:tcPr>
            <w:tcW w:w="2001" w:type="pct"/>
            <w:tcBorders>
              <w:top w:val="single" w:color="000000" w:sz="4" w:space="0"/>
              <w:left w:val="dashSmallGap" w:color="auto" w:sz="4" w:space="0"/>
              <w:bottom w:val="single" w:color="000000" w:sz="4" w:space="0"/>
              <w:right w:val="nil"/>
            </w:tcBorders>
            <w:shd w:val="clear" w:color="auto" w:fill="auto"/>
            <w:noWrap/>
            <w:vAlign w:val="center"/>
          </w:tcPr>
          <w:p w14:paraId="38EEA86A">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firstLine="0" w:firstLineChars="0"/>
              <w:jc w:val="center"/>
              <w:textAlignment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6.43</w:t>
            </w:r>
          </w:p>
        </w:tc>
      </w:tr>
      <w:tr w14:paraId="256386D0">
        <w:tblPrEx>
          <w:tblCellMar>
            <w:top w:w="0" w:type="dxa"/>
            <w:left w:w="108" w:type="dxa"/>
            <w:bottom w:w="0" w:type="dxa"/>
            <w:right w:w="108" w:type="dxa"/>
          </w:tblCellMar>
        </w:tblPrEx>
        <w:trPr>
          <w:trHeight w:val="400" w:hRule="atLeast"/>
        </w:trPr>
        <w:tc>
          <w:tcPr>
            <w:tcW w:w="997" w:type="pct"/>
            <w:tcBorders>
              <w:top w:val="single" w:color="000000" w:sz="4" w:space="0"/>
              <w:left w:val="nil"/>
              <w:bottom w:val="single" w:color="000000" w:sz="4" w:space="0"/>
              <w:right w:val="dashSmallGap" w:color="auto" w:sz="4" w:space="0"/>
            </w:tcBorders>
            <w:shd w:val="clear" w:color="auto" w:fill="auto"/>
            <w:noWrap/>
            <w:vAlign w:val="center"/>
          </w:tcPr>
          <w:p w14:paraId="1BDAE261">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firstLine="0" w:firstLineChars="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bidi="ar"/>
              </w:rPr>
              <w:t>3</w:t>
            </w:r>
          </w:p>
        </w:tc>
        <w:tc>
          <w:tcPr>
            <w:tcW w:w="2000" w:type="pct"/>
            <w:tcBorders>
              <w:top w:val="single" w:color="000000" w:sz="4" w:space="0"/>
              <w:left w:val="dashSmallGap" w:color="auto" w:sz="4" w:space="0"/>
              <w:bottom w:val="single" w:color="000000" w:sz="4" w:space="0"/>
              <w:right w:val="dashSmallGap" w:color="auto" w:sz="4" w:space="0"/>
            </w:tcBorders>
            <w:shd w:val="clear" w:color="auto" w:fill="auto"/>
            <w:noWrap/>
            <w:vAlign w:val="center"/>
          </w:tcPr>
          <w:p w14:paraId="2C5CD28A">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firstLine="0" w:firstLineChars="0"/>
              <w:jc w:val="center"/>
              <w:textAlignment w:val="center"/>
              <w:rPr>
                <w:rFonts w:hint="default" w:ascii="Times New Roman" w:hAnsi="Times New Roman" w:eastAsia="宋体" w:cs="Times New Roman"/>
                <w:color w:val="auto"/>
                <w:kern w:val="2"/>
                <w:sz w:val="24"/>
                <w:szCs w:val="24"/>
                <w:lang w:val="en-US" w:eastAsia="zh-CN" w:bidi="ar-SA"/>
              </w:rPr>
            </w:pPr>
            <w:r>
              <w:rPr>
                <w:rStyle w:val="129"/>
                <w:rFonts w:hint="default" w:ascii="Times New Roman" w:hAnsi="Times New Roman" w:eastAsia="宋体" w:cs="Times New Roman"/>
                <w:color w:val="auto"/>
                <w:sz w:val="24"/>
                <w:szCs w:val="24"/>
                <w:lang w:bidi="ar"/>
              </w:rPr>
              <w:t>上海</w:t>
            </w:r>
            <w:r>
              <w:rPr>
                <w:rStyle w:val="130"/>
                <w:rFonts w:hint="default" w:ascii="Times New Roman" w:hAnsi="Times New Roman" w:eastAsia="宋体" w:cs="Times New Roman"/>
                <w:color w:val="auto"/>
                <w:sz w:val="24"/>
                <w:szCs w:val="24"/>
                <w:lang w:val="en-US" w:eastAsia="zh-CN" w:bidi="ar"/>
              </w:rPr>
              <w:t>B</w:t>
            </w:r>
          </w:p>
        </w:tc>
        <w:tc>
          <w:tcPr>
            <w:tcW w:w="2001" w:type="pct"/>
            <w:tcBorders>
              <w:top w:val="single" w:color="000000" w:sz="4" w:space="0"/>
              <w:left w:val="dashSmallGap" w:color="auto" w:sz="4" w:space="0"/>
              <w:bottom w:val="single" w:color="000000" w:sz="4" w:space="0"/>
              <w:right w:val="nil"/>
            </w:tcBorders>
            <w:shd w:val="clear" w:color="auto" w:fill="auto"/>
            <w:noWrap/>
            <w:vAlign w:val="center"/>
          </w:tcPr>
          <w:p w14:paraId="4D535ED8">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firstLine="0" w:firstLineChars="0"/>
              <w:jc w:val="center"/>
              <w:textAlignment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color w:val="auto"/>
                <w:kern w:val="2"/>
                <w:sz w:val="24"/>
                <w:szCs w:val="24"/>
                <w:lang w:val="en-US" w:eastAsia="zh-CN" w:bidi="ar-SA"/>
              </w:rPr>
              <w:t>5.02</w:t>
            </w:r>
          </w:p>
        </w:tc>
      </w:tr>
      <w:tr w14:paraId="43EA333E">
        <w:tblPrEx>
          <w:tblCellMar>
            <w:top w:w="0" w:type="dxa"/>
            <w:left w:w="108" w:type="dxa"/>
            <w:bottom w:w="0" w:type="dxa"/>
            <w:right w:w="108" w:type="dxa"/>
          </w:tblCellMar>
        </w:tblPrEx>
        <w:trPr>
          <w:trHeight w:val="400" w:hRule="atLeast"/>
        </w:trPr>
        <w:tc>
          <w:tcPr>
            <w:tcW w:w="997" w:type="pct"/>
            <w:tcBorders>
              <w:top w:val="single" w:color="000000" w:sz="4" w:space="0"/>
              <w:left w:val="nil"/>
              <w:bottom w:val="single" w:color="000000" w:sz="4" w:space="0"/>
              <w:right w:val="dashSmallGap" w:color="auto" w:sz="4" w:space="0"/>
            </w:tcBorders>
            <w:shd w:val="clear" w:color="auto" w:fill="auto"/>
            <w:noWrap/>
            <w:vAlign w:val="center"/>
          </w:tcPr>
          <w:p w14:paraId="5005DD56">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firstLine="0" w:firstLineChars="0"/>
              <w:jc w:val="center"/>
              <w:textAlignment w:val="center"/>
              <w:rPr>
                <w:rFonts w:hint="default" w:ascii="Times New Roman" w:hAnsi="Times New Roman" w:eastAsia="宋体" w:cs="Times New Roman"/>
                <w:color w:val="auto"/>
                <w:sz w:val="24"/>
                <w:szCs w:val="24"/>
              </w:rPr>
            </w:pPr>
            <w:r>
              <w:rPr>
                <w:rFonts w:hint="default" w:ascii="Times New Roman" w:hAnsi="Times New Roman" w:eastAsia="宋体" w:cs="Times New Roman"/>
                <w:color w:val="auto"/>
                <w:kern w:val="0"/>
                <w:sz w:val="24"/>
                <w:szCs w:val="24"/>
                <w:lang w:bidi="ar"/>
              </w:rPr>
              <w:t>4</w:t>
            </w:r>
          </w:p>
        </w:tc>
        <w:tc>
          <w:tcPr>
            <w:tcW w:w="2000" w:type="pct"/>
            <w:tcBorders>
              <w:top w:val="single" w:color="000000" w:sz="4" w:space="0"/>
              <w:left w:val="dashSmallGap" w:color="auto" w:sz="4" w:space="0"/>
              <w:bottom w:val="single" w:color="000000" w:sz="4" w:space="0"/>
              <w:right w:val="dashSmallGap" w:color="auto" w:sz="4" w:space="0"/>
            </w:tcBorders>
            <w:shd w:val="clear" w:color="auto" w:fill="auto"/>
            <w:noWrap/>
            <w:vAlign w:val="center"/>
          </w:tcPr>
          <w:p w14:paraId="23611A4E">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firstLine="0" w:firstLineChars="0"/>
              <w:jc w:val="center"/>
              <w:textAlignment w:val="center"/>
              <w:rPr>
                <w:rFonts w:hint="default" w:ascii="Times New Roman" w:hAnsi="Times New Roman" w:eastAsia="宋体" w:cs="Times New Roman"/>
                <w:color w:val="auto"/>
                <w:kern w:val="2"/>
                <w:sz w:val="24"/>
                <w:szCs w:val="24"/>
                <w:lang w:val="en-US" w:eastAsia="zh-CN" w:bidi="ar-SA"/>
              </w:rPr>
            </w:pPr>
            <w:r>
              <w:rPr>
                <w:rStyle w:val="129"/>
                <w:rFonts w:hint="default" w:ascii="Times New Roman" w:hAnsi="Times New Roman" w:eastAsia="宋体" w:cs="Times New Roman"/>
                <w:color w:val="auto"/>
                <w:sz w:val="24"/>
                <w:szCs w:val="24"/>
                <w:lang w:bidi="ar"/>
              </w:rPr>
              <w:t>深圳</w:t>
            </w:r>
          </w:p>
        </w:tc>
        <w:tc>
          <w:tcPr>
            <w:tcW w:w="2001" w:type="pct"/>
            <w:tcBorders>
              <w:top w:val="single" w:color="000000" w:sz="4" w:space="0"/>
              <w:left w:val="dashSmallGap" w:color="auto" w:sz="4" w:space="0"/>
              <w:bottom w:val="single" w:color="000000" w:sz="4" w:space="0"/>
              <w:right w:val="nil"/>
            </w:tcBorders>
            <w:shd w:val="clear" w:color="auto" w:fill="auto"/>
            <w:noWrap/>
            <w:vAlign w:val="center"/>
          </w:tcPr>
          <w:p w14:paraId="4387E0A8">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firstLine="0" w:firstLineChars="0"/>
              <w:jc w:val="center"/>
              <w:textAlignment w:val="center"/>
              <w:rPr>
                <w:rFonts w:hint="default" w:ascii="Times New Roman" w:hAnsi="Times New Roman" w:eastAsia="宋体" w:cs="Times New Roman"/>
                <w:color w:val="auto"/>
                <w:kern w:val="2"/>
                <w:sz w:val="24"/>
                <w:szCs w:val="24"/>
                <w:lang w:val="en-US" w:eastAsia="zh-CN" w:bidi="ar-SA"/>
                <w:woUserID w:val="6"/>
              </w:rPr>
            </w:pPr>
            <w:r>
              <w:rPr>
                <w:rFonts w:hint="eastAsia" w:eastAsia="宋体" w:cs="Times New Roman"/>
                <w:color w:val="auto"/>
                <w:kern w:val="2"/>
                <w:sz w:val="24"/>
                <w:szCs w:val="24"/>
                <w:lang w:val="en-US" w:eastAsia="zh-CN" w:bidi="ar-SA"/>
                <w:woUserID w:val="6"/>
              </w:rPr>
              <w:t>4.98</w:t>
            </w:r>
          </w:p>
        </w:tc>
      </w:tr>
      <w:tr w14:paraId="77562297">
        <w:tblPrEx>
          <w:tblCellMar>
            <w:top w:w="0" w:type="dxa"/>
            <w:left w:w="108" w:type="dxa"/>
            <w:bottom w:w="0" w:type="dxa"/>
            <w:right w:w="108" w:type="dxa"/>
          </w:tblCellMar>
        </w:tblPrEx>
        <w:trPr>
          <w:trHeight w:val="400" w:hRule="atLeast"/>
        </w:trPr>
        <w:tc>
          <w:tcPr>
            <w:tcW w:w="997" w:type="pct"/>
            <w:tcBorders>
              <w:top w:val="single" w:color="auto" w:sz="4" w:space="0"/>
              <w:left w:val="nil"/>
              <w:bottom w:val="single" w:color="auto" w:sz="12" w:space="0"/>
              <w:right w:val="dashSmallGap" w:color="auto" w:sz="4" w:space="0"/>
            </w:tcBorders>
            <w:shd w:val="clear" w:color="auto" w:fill="auto"/>
            <w:noWrap/>
            <w:vAlign w:val="center"/>
          </w:tcPr>
          <w:p w14:paraId="680F60A3">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firstLine="0" w:firstLineChars="0"/>
              <w:jc w:val="center"/>
              <w:textAlignment w:val="center"/>
              <w:rPr>
                <w:rFonts w:hint="default" w:ascii="Times New Roman" w:hAnsi="Times New Roman" w:eastAsia="宋体" w:cs="Times New Roman"/>
                <w:color w:val="auto"/>
                <w:sz w:val="24"/>
                <w:szCs w:val="24"/>
                <w:lang w:eastAsia="zh-CN"/>
              </w:rPr>
            </w:pPr>
            <w:r>
              <w:rPr>
                <w:rFonts w:hint="eastAsia" w:eastAsia="宋体" w:cs="Times New Roman"/>
                <w:color w:val="auto"/>
                <w:kern w:val="0"/>
                <w:sz w:val="24"/>
                <w:szCs w:val="24"/>
                <w:lang w:val="en-US" w:eastAsia="zh-CN" w:bidi="ar"/>
              </w:rPr>
              <w:t>5</w:t>
            </w:r>
          </w:p>
        </w:tc>
        <w:tc>
          <w:tcPr>
            <w:tcW w:w="2000" w:type="pct"/>
            <w:tcBorders>
              <w:top w:val="single" w:color="auto" w:sz="4" w:space="0"/>
              <w:left w:val="dashSmallGap" w:color="auto" w:sz="4" w:space="0"/>
              <w:bottom w:val="single" w:color="auto" w:sz="12" w:space="0"/>
              <w:right w:val="dashSmallGap" w:color="auto" w:sz="4" w:space="0"/>
            </w:tcBorders>
            <w:shd w:val="clear" w:color="auto" w:fill="auto"/>
            <w:noWrap/>
            <w:vAlign w:val="center"/>
          </w:tcPr>
          <w:p w14:paraId="7B2D9202">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firstLine="0" w:firstLineChars="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0"/>
                <w:sz w:val="24"/>
                <w:szCs w:val="24"/>
                <w:lang w:val="en-US" w:eastAsia="zh-CN" w:bidi="ar"/>
              </w:rPr>
              <w:t>平均值</w:t>
            </w:r>
          </w:p>
        </w:tc>
        <w:tc>
          <w:tcPr>
            <w:tcW w:w="2001" w:type="pct"/>
            <w:tcBorders>
              <w:top w:val="single" w:color="auto" w:sz="4" w:space="0"/>
              <w:left w:val="dashSmallGap" w:color="auto" w:sz="4" w:space="0"/>
              <w:bottom w:val="single" w:color="auto" w:sz="12" w:space="0"/>
              <w:right w:val="nil"/>
            </w:tcBorders>
            <w:shd w:val="clear" w:color="auto" w:fill="auto"/>
            <w:noWrap/>
            <w:vAlign w:val="center"/>
          </w:tcPr>
          <w:p w14:paraId="6EC37062">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firstLine="0" w:firstLineChars="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sz w:val="24"/>
                <w:szCs w:val="24"/>
                <w:lang w:val="en-US" w:eastAsia="zh-CN"/>
              </w:rPr>
              <w:t>5.55</w:t>
            </w:r>
          </w:p>
        </w:tc>
      </w:tr>
    </w:tbl>
    <w:p w14:paraId="12F4C700">
      <w:pPr>
        <w:bidi w:val="0"/>
        <w:rPr>
          <w:rFonts w:hint="eastAsia"/>
          <w:lang w:val="en-US" w:eastAsia="zh-CN"/>
        </w:rPr>
      </w:pPr>
      <w:r>
        <w:rPr>
          <w:rFonts w:hint="eastAsia"/>
          <w:lang w:val="en-US" w:eastAsia="zh-CN"/>
        </w:rPr>
        <w:t>由于完全混合式活性污泥工艺及生物滤池工艺在国内尚未开展系统性测试，编制组选取包含上述两种工艺的典型污水处理设施开展实测研究，如</w:t>
      </w:r>
      <w:r>
        <w:rPr>
          <w:rFonts w:hint="default"/>
          <w:lang w:val="en-US" w:eastAsia="zh-CN"/>
        </w:rPr>
        <w:t>表</w:t>
      </w:r>
      <w:r>
        <w:rPr>
          <w:rFonts w:hint="eastAsia"/>
          <w:lang w:val="en-US" w:eastAsia="zh-CN"/>
        </w:rPr>
        <w:t>A.3。</w:t>
      </w:r>
    </w:p>
    <w:p w14:paraId="536BC98D">
      <w:pPr>
        <w:bidi w:val="0"/>
        <w:jc w:val="center"/>
        <w:rPr>
          <w:rFonts w:hint="default"/>
          <w:lang w:val="en-US" w:eastAsia="zh-CN"/>
        </w:rPr>
      </w:pPr>
      <w:r>
        <w:rPr>
          <w:rFonts w:hint="default"/>
          <w:lang w:val="en-US" w:eastAsia="zh-CN"/>
        </w:rPr>
        <w:t>表</w:t>
      </w:r>
      <w:r>
        <w:rPr>
          <w:rFonts w:hint="eastAsia"/>
          <w:lang w:val="en-US" w:eastAsia="zh-CN"/>
        </w:rPr>
        <w:t>A.3</w:t>
      </w:r>
      <w:r>
        <w:rPr>
          <w:rFonts w:hint="default"/>
          <w:lang w:val="en-US" w:eastAsia="zh-CN"/>
        </w:rPr>
        <w:t xml:space="preserve"> </w:t>
      </w:r>
      <w:r>
        <w:rPr>
          <w:rFonts w:hint="eastAsia"/>
          <w:lang w:val="en-US" w:eastAsia="zh-CN"/>
        </w:rPr>
        <w:t xml:space="preserve"> 完全混合式活性污泥处理及生物滤池氧化亚氮排</w:t>
      </w:r>
      <w:r>
        <w:rPr>
          <w:rFonts w:hint="default"/>
          <w:lang w:val="en-US" w:eastAsia="zh-CN"/>
        </w:rPr>
        <w:t>放因子</w:t>
      </w:r>
    </w:p>
    <w:tbl>
      <w:tblPr>
        <w:tblStyle w:val="88"/>
        <w:tblW w:w="4998" w:type="pct"/>
        <w:tblInd w:w="0" w:type="dxa"/>
        <w:tblLayout w:type="autofit"/>
        <w:tblCellMar>
          <w:top w:w="0" w:type="dxa"/>
          <w:left w:w="108" w:type="dxa"/>
          <w:bottom w:w="0" w:type="dxa"/>
          <w:right w:w="108" w:type="dxa"/>
        </w:tblCellMar>
      </w:tblPr>
      <w:tblGrid>
        <w:gridCol w:w="1702"/>
        <w:gridCol w:w="3411"/>
        <w:gridCol w:w="3412"/>
      </w:tblGrid>
      <w:tr w14:paraId="499444D0">
        <w:tblPrEx>
          <w:tblCellMar>
            <w:top w:w="0" w:type="dxa"/>
            <w:left w:w="108" w:type="dxa"/>
            <w:bottom w:w="0" w:type="dxa"/>
            <w:right w:w="108" w:type="dxa"/>
          </w:tblCellMar>
        </w:tblPrEx>
        <w:trPr>
          <w:trHeight w:val="400" w:hRule="atLeast"/>
        </w:trPr>
        <w:tc>
          <w:tcPr>
            <w:tcW w:w="1701" w:type="dxa"/>
            <w:tcBorders>
              <w:top w:val="single" w:color="auto" w:sz="12" w:space="0"/>
              <w:left w:val="nil"/>
              <w:bottom w:val="single" w:color="auto" w:sz="12" w:space="0"/>
              <w:right w:val="dashSmallGap" w:color="auto" w:sz="4" w:space="0"/>
            </w:tcBorders>
            <w:shd w:val="clear" w:color="auto" w:fill="E7E6E6" w:themeFill="background2"/>
            <w:noWrap/>
            <w:vAlign w:val="center"/>
          </w:tcPr>
          <w:p w14:paraId="365AFEB2">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firstLine="0" w:firstLineChars="0"/>
              <w:jc w:val="center"/>
              <w:textAlignment w:val="center"/>
              <w:rPr>
                <w:rFonts w:hint="default" w:ascii="Times New Roman" w:hAnsi="Times New Roman" w:eastAsia="宋体" w:cs="Times New Roman"/>
                <w:color w:val="auto"/>
                <w:sz w:val="24"/>
                <w:szCs w:val="24"/>
                <w:lang w:val="en-US" w:eastAsia="zh-CN"/>
              </w:rPr>
            </w:pPr>
            <w:r>
              <w:rPr>
                <w:rStyle w:val="129"/>
                <w:rFonts w:hint="default" w:ascii="Times New Roman" w:hAnsi="Times New Roman" w:eastAsia="宋体" w:cs="Times New Roman"/>
                <w:color w:val="auto"/>
                <w:sz w:val="24"/>
                <w:szCs w:val="24"/>
                <w:lang w:val="en-US" w:eastAsia="zh-CN" w:bidi="ar"/>
              </w:rPr>
              <w:t>监测时间</w:t>
            </w:r>
          </w:p>
        </w:tc>
        <w:tc>
          <w:tcPr>
            <w:tcW w:w="3408" w:type="dxa"/>
            <w:tcBorders>
              <w:top w:val="single" w:color="auto" w:sz="12" w:space="0"/>
              <w:left w:val="dashSmallGap" w:color="auto" w:sz="4" w:space="0"/>
              <w:bottom w:val="single" w:color="auto" w:sz="12" w:space="0"/>
              <w:right w:val="dashSmallGap" w:color="auto" w:sz="4" w:space="0"/>
            </w:tcBorders>
            <w:shd w:val="clear" w:color="auto" w:fill="E7E6E6" w:themeFill="background2"/>
            <w:noWrap/>
            <w:vAlign w:val="center"/>
          </w:tcPr>
          <w:p w14:paraId="689A6D54">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firstLine="0" w:firstLineChars="0"/>
              <w:jc w:val="center"/>
              <w:textAlignment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完全混合式</w:t>
            </w:r>
          </w:p>
          <w:p w14:paraId="2A9F12CF">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firstLine="0" w:firstLineChars="0"/>
              <w:jc w:val="center"/>
              <w:textAlignment w:val="center"/>
              <w:rPr>
                <w:rFonts w:hint="default" w:ascii="Times New Roman" w:hAnsi="Times New Roman" w:eastAsia="宋体" w:cs="Times New Roman"/>
                <w:color w:val="auto"/>
                <w:sz w:val="24"/>
                <w:szCs w:val="24"/>
                <w:lang w:val="en-US" w:eastAsia="zh-CN"/>
              </w:rPr>
            </w:pPr>
            <w:r>
              <w:rPr>
                <w:rStyle w:val="129"/>
                <w:rFonts w:hint="default" w:ascii="Times New Roman" w:hAnsi="Times New Roman" w:eastAsia="宋体" w:cs="Times New Roman"/>
                <w:b/>
                <w:bCs/>
                <w:color w:val="000000" w:themeColor="text1"/>
                <w:sz w:val="24"/>
                <w:szCs w:val="24"/>
                <w:lang w:val="en-US" w:eastAsia="zh-CN" w:bidi="ar"/>
                <w14:textFill>
                  <w14:solidFill>
                    <w14:schemeClr w14:val="tx1"/>
                  </w14:solidFill>
                </w14:textFill>
              </w:rPr>
              <w:t>（</w:t>
            </w:r>
            <w:r>
              <w:rPr>
                <w:rStyle w:val="129"/>
                <w:rFonts w:hint="default" w:ascii="Times New Roman" w:hAnsi="Times New Roman" w:eastAsia="宋体" w:cs="Times New Roman"/>
                <w:b/>
                <w:bCs/>
                <w:color w:val="000000" w:themeColor="text1"/>
                <w:sz w:val="24"/>
                <w:szCs w:val="24"/>
                <w:lang w:bidi="ar"/>
                <w14:textFill>
                  <w14:solidFill>
                    <w14:schemeClr w14:val="tx1"/>
                  </w14:solidFill>
                </w14:textFill>
              </w:rPr>
              <w:t>kg</w:t>
            </w:r>
            <w:r>
              <w:rPr>
                <w:rStyle w:val="129"/>
                <w:rFonts w:hint="default" w:ascii="Times New Roman" w:hAnsi="Times New Roman" w:eastAsia="宋体" w:cs="Times New Roman"/>
                <w:b/>
                <w:bCs/>
                <w:color w:val="000000" w:themeColor="text1"/>
                <w:sz w:val="24"/>
                <w:szCs w:val="24"/>
                <w:lang w:val="en-US" w:eastAsia="zh-CN" w:bidi="ar"/>
                <w14:textFill>
                  <w14:solidFill>
                    <w14:schemeClr w14:val="tx1"/>
                  </w14:solidFill>
                </w14:textFill>
              </w:rPr>
              <w:t xml:space="preserve"> N</w:t>
            </w:r>
            <w:r>
              <w:rPr>
                <w:rStyle w:val="129"/>
                <w:rFonts w:hint="default" w:ascii="Times New Roman" w:hAnsi="Times New Roman" w:eastAsia="宋体" w:cs="Times New Roman"/>
                <w:b/>
                <w:bCs/>
                <w:color w:val="000000" w:themeColor="text1"/>
                <w:sz w:val="24"/>
                <w:szCs w:val="24"/>
                <w:vertAlign w:val="subscript"/>
                <w:lang w:val="en-US" w:eastAsia="zh-CN" w:bidi="ar"/>
                <w14:textFill>
                  <w14:solidFill>
                    <w14:schemeClr w14:val="tx1"/>
                  </w14:solidFill>
                </w14:textFill>
              </w:rPr>
              <w:t>2</w:t>
            </w:r>
            <w:r>
              <w:rPr>
                <w:rStyle w:val="129"/>
                <w:rFonts w:hint="default" w:ascii="Times New Roman" w:hAnsi="Times New Roman" w:eastAsia="宋体" w:cs="Times New Roman"/>
                <w:b/>
                <w:bCs/>
                <w:color w:val="000000" w:themeColor="text1"/>
                <w:sz w:val="24"/>
                <w:szCs w:val="24"/>
                <w:lang w:val="en-US" w:eastAsia="zh-CN" w:bidi="ar"/>
                <w14:textFill>
                  <w14:solidFill>
                    <w14:schemeClr w14:val="tx1"/>
                  </w14:solidFill>
                </w14:textFill>
              </w:rPr>
              <w:t>O-N</w:t>
            </w:r>
            <w:r>
              <w:rPr>
                <w:rStyle w:val="129"/>
                <w:rFonts w:hint="default" w:ascii="Times New Roman" w:hAnsi="Times New Roman" w:eastAsia="宋体" w:cs="Times New Roman"/>
                <w:b/>
                <w:bCs/>
                <w:color w:val="000000" w:themeColor="text1"/>
                <w:sz w:val="24"/>
                <w:szCs w:val="24"/>
                <w:lang w:bidi="ar"/>
                <w14:textFill>
                  <w14:solidFill>
                    <w14:schemeClr w14:val="tx1"/>
                  </w14:solidFill>
                </w14:textFill>
              </w:rPr>
              <w:t>/</w:t>
            </w:r>
            <w:r>
              <w:rPr>
                <w:rStyle w:val="129"/>
                <w:rFonts w:hint="default" w:ascii="Times New Roman" w:hAnsi="Times New Roman" w:eastAsia="宋体" w:cs="Times New Roman"/>
                <w:b/>
                <w:bCs/>
                <w:color w:val="000000" w:themeColor="text1"/>
                <w:sz w:val="24"/>
                <w:szCs w:val="24"/>
                <w:lang w:val="en-US" w:eastAsia="zh-CN" w:bidi="ar"/>
                <w14:textFill>
                  <w14:solidFill>
                    <w14:schemeClr w14:val="tx1"/>
                  </w14:solidFill>
                </w14:textFill>
              </w:rPr>
              <w:t>t TN</w:t>
            </w:r>
            <w:r>
              <w:rPr>
                <w:rStyle w:val="129"/>
                <w:rFonts w:hint="eastAsia" w:eastAsia="宋体" w:cs="Times New Roman"/>
                <w:b/>
                <w:bCs/>
                <w:color w:val="000000" w:themeColor="text1"/>
                <w:sz w:val="24"/>
                <w:szCs w:val="24"/>
                <w:vertAlign w:val="subscript"/>
                <w:lang w:val="en-US" w:eastAsia="zh-CN" w:bidi="ar"/>
                <w14:textFill>
                  <w14:solidFill>
                    <w14:schemeClr w14:val="tx1"/>
                  </w14:solidFill>
                </w14:textFill>
              </w:rPr>
              <w:t>Re</w:t>
            </w:r>
            <w:r>
              <w:rPr>
                <w:rStyle w:val="129"/>
                <w:rFonts w:hint="default" w:ascii="Times New Roman" w:hAnsi="Times New Roman" w:eastAsia="宋体" w:cs="Times New Roman"/>
                <w:b/>
                <w:bCs/>
                <w:color w:val="000000" w:themeColor="text1"/>
                <w:sz w:val="24"/>
                <w:szCs w:val="24"/>
                <w:lang w:val="en-US" w:eastAsia="zh-CN" w:bidi="ar"/>
                <w14:textFill>
                  <w14:solidFill>
                    <w14:schemeClr w14:val="tx1"/>
                  </w14:solidFill>
                </w14:textFill>
              </w:rPr>
              <w:t>）</w:t>
            </w:r>
          </w:p>
        </w:tc>
        <w:tc>
          <w:tcPr>
            <w:tcW w:w="3409" w:type="dxa"/>
            <w:tcBorders>
              <w:top w:val="single" w:color="auto" w:sz="12" w:space="0"/>
              <w:left w:val="dashSmallGap" w:color="auto" w:sz="4" w:space="0"/>
              <w:bottom w:val="single" w:color="auto" w:sz="12" w:space="0"/>
              <w:right w:val="nil"/>
            </w:tcBorders>
            <w:shd w:val="clear" w:color="auto" w:fill="E7E6E6" w:themeFill="background2"/>
            <w:noWrap/>
            <w:vAlign w:val="center"/>
          </w:tcPr>
          <w:p w14:paraId="286A1B2B">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firstLine="0" w:firstLineChars="0"/>
              <w:jc w:val="center"/>
              <w:textAlignment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生物滤池</w:t>
            </w:r>
          </w:p>
          <w:p w14:paraId="0CA58254">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firstLine="0" w:firstLineChars="0"/>
              <w:jc w:val="center"/>
              <w:textAlignment w:val="center"/>
              <w:rPr>
                <w:rFonts w:hint="default" w:ascii="Times New Roman" w:hAnsi="Times New Roman" w:eastAsia="宋体" w:cs="Times New Roman"/>
                <w:color w:val="auto"/>
                <w:sz w:val="24"/>
                <w:szCs w:val="24"/>
                <w:lang w:val="en-US" w:eastAsia="zh-CN"/>
              </w:rPr>
            </w:pPr>
            <w:r>
              <w:rPr>
                <w:rStyle w:val="129"/>
                <w:rFonts w:hint="default" w:ascii="Times New Roman" w:hAnsi="Times New Roman" w:eastAsia="宋体" w:cs="Times New Roman"/>
                <w:b/>
                <w:bCs/>
                <w:color w:val="000000" w:themeColor="text1"/>
                <w:sz w:val="24"/>
                <w:szCs w:val="24"/>
                <w:lang w:val="en-US" w:eastAsia="zh-CN" w:bidi="ar"/>
                <w14:textFill>
                  <w14:solidFill>
                    <w14:schemeClr w14:val="tx1"/>
                  </w14:solidFill>
                </w14:textFill>
              </w:rPr>
              <w:t>（</w:t>
            </w:r>
            <w:r>
              <w:rPr>
                <w:rStyle w:val="129"/>
                <w:rFonts w:hint="default" w:ascii="Times New Roman" w:hAnsi="Times New Roman" w:eastAsia="宋体" w:cs="Times New Roman"/>
                <w:b/>
                <w:bCs/>
                <w:color w:val="000000" w:themeColor="text1"/>
                <w:sz w:val="24"/>
                <w:szCs w:val="24"/>
                <w:lang w:bidi="ar"/>
                <w14:textFill>
                  <w14:solidFill>
                    <w14:schemeClr w14:val="tx1"/>
                  </w14:solidFill>
                </w14:textFill>
              </w:rPr>
              <w:t>kg</w:t>
            </w:r>
            <w:r>
              <w:rPr>
                <w:rStyle w:val="129"/>
                <w:rFonts w:hint="default" w:ascii="Times New Roman" w:hAnsi="Times New Roman" w:eastAsia="宋体" w:cs="Times New Roman"/>
                <w:b/>
                <w:bCs/>
                <w:color w:val="000000" w:themeColor="text1"/>
                <w:sz w:val="24"/>
                <w:szCs w:val="24"/>
                <w:lang w:val="en-US" w:eastAsia="zh-CN" w:bidi="ar"/>
                <w14:textFill>
                  <w14:solidFill>
                    <w14:schemeClr w14:val="tx1"/>
                  </w14:solidFill>
                </w14:textFill>
              </w:rPr>
              <w:t xml:space="preserve"> N</w:t>
            </w:r>
            <w:r>
              <w:rPr>
                <w:rStyle w:val="129"/>
                <w:rFonts w:hint="default" w:ascii="Times New Roman" w:hAnsi="Times New Roman" w:eastAsia="宋体" w:cs="Times New Roman"/>
                <w:b/>
                <w:bCs/>
                <w:color w:val="000000" w:themeColor="text1"/>
                <w:sz w:val="24"/>
                <w:szCs w:val="24"/>
                <w:vertAlign w:val="subscript"/>
                <w:lang w:val="en-US" w:eastAsia="zh-CN" w:bidi="ar"/>
                <w14:textFill>
                  <w14:solidFill>
                    <w14:schemeClr w14:val="tx1"/>
                  </w14:solidFill>
                </w14:textFill>
              </w:rPr>
              <w:t>2</w:t>
            </w:r>
            <w:r>
              <w:rPr>
                <w:rStyle w:val="129"/>
                <w:rFonts w:hint="default" w:ascii="Times New Roman" w:hAnsi="Times New Roman" w:eastAsia="宋体" w:cs="Times New Roman"/>
                <w:b/>
                <w:bCs/>
                <w:color w:val="000000" w:themeColor="text1"/>
                <w:sz w:val="24"/>
                <w:szCs w:val="24"/>
                <w:lang w:val="en-US" w:eastAsia="zh-CN" w:bidi="ar"/>
                <w14:textFill>
                  <w14:solidFill>
                    <w14:schemeClr w14:val="tx1"/>
                  </w14:solidFill>
                </w14:textFill>
              </w:rPr>
              <w:t>O-N</w:t>
            </w:r>
            <w:r>
              <w:rPr>
                <w:rStyle w:val="129"/>
                <w:rFonts w:hint="default" w:ascii="Times New Roman" w:hAnsi="Times New Roman" w:eastAsia="宋体" w:cs="Times New Roman"/>
                <w:b/>
                <w:bCs/>
                <w:color w:val="000000" w:themeColor="text1"/>
                <w:sz w:val="24"/>
                <w:szCs w:val="24"/>
                <w:lang w:bidi="ar"/>
                <w14:textFill>
                  <w14:solidFill>
                    <w14:schemeClr w14:val="tx1"/>
                  </w14:solidFill>
                </w14:textFill>
              </w:rPr>
              <w:t>/</w:t>
            </w:r>
            <w:r>
              <w:rPr>
                <w:rStyle w:val="129"/>
                <w:rFonts w:hint="default" w:ascii="Times New Roman" w:hAnsi="Times New Roman" w:eastAsia="宋体" w:cs="Times New Roman"/>
                <w:b/>
                <w:bCs/>
                <w:color w:val="000000" w:themeColor="text1"/>
                <w:sz w:val="24"/>
                <w:szCs w:val="24"/>
                <w:lang w:val="en-US" w:eastAsia="zh-CN" w:bidi="ar"/>
                <w14:textFill>
                  <w14:solidFill>
                    <w14:schemeClr w14:val="tx1"/>
                  </w14:solidFill>
                </w14:textFill>
              </w:rPr>
              <w:t>t TN</w:t>
            </w:r>
            <w:r>
              <w:rPr>
                <w:rStyle w:val="129"/>
                <w:rFonts w:hint="eastAsia" w:eastAsia="宋体" w:cs="Times New Roman"/>
                <w:b/>
                <w:bCs/>
                <w:color w:val="000000" w:themeColor="text1"/>
                <w:sz w:val="24"/>
                <w:szCs w:val="24"/>
                <w:vertAlign w:val="subscript"/>
                <w:lang w:val="en-US" w:eastAsia="zh-CN" w:bidi="ar"/>
                <w14:textFill>
                  <w14:solidFill>
                    <w14:schemeClr w14:val="tx1"/>
                  </w14:solidFill>
                </w14:textFill>
              </w:rPr>
              <w:t>Re</w:t>
            </w:r>
            <w:r>
              <w:rPr>
                <w:rStyle w:val="129"/>
                <w:rFonts w:hint="default" w:ascii="Times New Roman" w:hAnsi="Times New Roman" w:eastAsia="宋体" w:cs="Times New Roman"/>
                <w:b/>
                <w:bCs/>
                <w:color w:val="000000" w:themeColor="text1"/>
                <w:sz w:val="24"/>
                <w:szCs w:val="24"/>
                <w:lang w:val="en-US" w:eastAsia="zh-CN" w:bidi="ar"/>
                <w14:textFill>
                  <w14:solidFill>
                    <w14:schemeClr w14:val="tx1"/>
                  </w14:solidFill>
                </w14:textFill>
              </w:rPr>
              <w:t>）</w:t>
            </w:r>
          </w:p>
        </w:tc>
      </w:tr>
      <w:tr w14:paraId="105C1D20">
        <w:tblPrEx>
          <w:tblCellMar>
            <w:top w:w="0" w:type="dxa"/>
            <w:left w:w="108" w:type="dxa"/>
            <w:bottom w:w="0" w:type="dxa"/>
            <w:right w:w="108" w:type="dxa"/>
          </w:tblCellMar>
        </w:tblPrEx>
        <w:trPr>
          <w:trHeight w:val="400" w:hRule="atLeast"/>
        </w:trPr>
        <w:tc>
          <w:tcPr>
            <w:tcW w:w="1701" w:type="dxa"/>
            <w:tcBorders>
              <w:top w:val="single" w:color="auto" w:sz="12" w:space="0"/>
              <w:left w:val="nil"/>
              <w:bottom w:val="single" w:color="000000" w:sz="4" w:space="0"/>
              <w:right w:val="dashSmallGap" w:color="auto" w:sz="4" w:space="0"/>
            </w:tcBorders>
            <w:shd w:val="clear" w:color="auto" w:fill="auto"/>
            <w:noWrap/>
            <w:vAlign w:val="center"/>
          </w:tcPr>
          <w:p w14:paraId="565FA2E6">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hanging="3" w:firstLineChars="0"/>
              <w:jc w:val="center"/>
              <w:textAlignment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kern w:val="0"/>
                <w:sz w:val="24"/>
                <w:szCs w:val="24"/>
              </w:rPr>
              <w:t>1月</w:t>
            </w:r>
          </w:p>
        </w:tc>
        <w:tc>
          <w:tcPr>
            <w:tcW w:w="3408" w:type="dxa"/>
            <w:tcBorders>
              <w:top w:val="single" w:color="auto" w:sz="12" w:space="0"/>
              <w:left w:val="dashSmallGap" w:color="auto" w:sz="4" w:space="0"/>
              <w:bottom w:val="single" w:color="000000" w:sz="4" w:space="0"/>
              <w:right w:val="dashSmallGap" w:color="auto" w:sz="4" w:space="0"/>
            </w:tcBorders>
            <w:shd w:val="clear" w:color="auto" w:fill="auto"/>
            <w:noWrap/>
            <w:vAlign w:val="center"/>
          </w:tcPr>
          <w:p w14:paraId="453D43AC">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849" w:leftChars="0" w:right="0" w:hanging="849" w:hangingChars="354"/>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0.468 </w:t>
            </w:r>
          </w:p>
        </w:tc>
        <w:tc>
          <w:tcPr>
            <w:tcW w:w="3409" w:type="dxa"/>
            <w:tcBorders>
              <w:top w:val="single" w:color="auto" w:sz="12" w:space="0"/>
              <w:left w:val="dashSmallGap" w:color="auto" w:sz="4" w:space="0"/>
              <w:bottom w:val="single" w:color="000000" w:sz="4" w:space="0"/>
              <w:right w:val="nil"/>
            </w:tcBorders>
            <w:shd w:val="clear" w:color="auto" w:fill="auto"/>
            <w:noWrap/>
            <w:vAlign w:val="center"/>
          </w:tcPr>
          <w:p w14:paraId="10BF9C6B">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849" w:leftChars="0" w:right="0" w:hanging="849" w:hangingChars="354"/>
              <w:jc w:val="center"/>
              <w:textAlignment w:val="center"/>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26.716 </w:t>
            </w:r>
          </w:p>
        </w:tc>
      </w:tr>
      <w:tr w14:paraId="6169DFD0">
        <w:tblPrEx>
          <w:tblCellMar>
            <w:top w:w="0" w:type="dxa"/>
            <w:left w:w="108" w:type="dxa"/>
            <w:bottom w:w="0" w:type="dxa"/>
            <w:right w:w="108" w:type="dxa"/>
          </w:tblCellMar>
        </w:tblPrEx>
        <w:trPr>
          <w:trHeight w:val="400" w:hRule="atLeast"/>
        </w:trPr>
        <w:tc>
          <w:tcPr>
            <w:tcW w:w="1701" w:type="dxa"/>
            <w:tcBorders>
              <w:top w:val="single" w:color="000000" w:sz="4" w:space="0"/>
              <w:left w:val="nil"/>
              <w:bottom w:val="single" w:color="000000" w:sz="4" w:space="0"/>
              <w:right w:val="dashSmallGap" w:color="auto" w:sz="4" w:space="0"/>
            </w:tcBorders>
            <w:shd w:val="clear" w:color="auto" w:fill="auto"/>
            <w:noWrap/>
            <w:vAlign w:val="center"/>
          </w:tcPr>
          <w:p w14:paraId="647E5AC9">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hanging="3" w:firstLineChars="0"/>
              <w:jc w:val="center"/>
              <w:textAlignment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kern w:val="0"/>
                <w:sz w:val="24"/>
                <w:szCs w:val="24"/>
              </w:rPr>
              <w:t>2月</w:t>
            </w:r>
          </w:p>
        </w:tc>
        <w:tc>
          <w:tcPr>
            <w:tcW w:w="3408" w:type="dxa"/>
            <w:tcBorders>
              <w:top w:val="single" w:color="000000" w:sz="4" w:space="0"/>
              <w:left w:val="dashSmallGap" w:color="auto" w:sz="4" w:space="0"/>
              <w:bottom w:val="single" w:color="000000" w:sz="4" w:space="0"/>
              <w:right w:val="dashSmallGap" w:color="auto" w:sz="4" w:space="0"/>
            </w:tcBorders>
            <w:shd w:val="clear" w:color="auto" w:fill="auto"/>
            <w:noWrap/>
            <w:vAlign w:val="center"/>
          </w:tcPr>
          <w:p w14:paraId="7320328C">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849" w:leftChars="0" w:right="0" w:hanging="849" w:hangingChars="354"/>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0.245 </w:t>
            </w:r>
          </w:p>
        </w:tc>
        <w:tc>
          <w:tcPr>
            <w:tcW w:w="3409" w:type="dxa"/>
            <w:tcBorders>
              <w:top w:val="single" w:color="000000" w:sz="4" w:space="0"/>
              <w:left w:val="dashSmallGap" w:color="auto" w:sz="4" w:space="0"/>
              <w:bottom w:val="single" w:color="000000" w:sz="4" w:space="0"/>
              <w:right w:val="nil"/>
            </w:tcBorders>
            <w:shd w:val="clear" w:color="auto" w:fill="auto"/>
            <w:noWrap/>
            <w:vAlign w:val="center"/>
          </w:tcPr>
          <w:p w14:paraId="01B709FB">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849" w:leftChars="0" w:right="0" w:hanging="849" w:hangingChars="354"/>
              <w:jc w:val="center"/>
              <w:textAlignment w:val="center"/>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19.403 </w:t>
            </w:r>
          </w:p>
        </w:tc>
      </w:tr>
      <w:tr w14:paraId="62A1B6B9">
        <w:tblPrEx>
          <w:tblCellMar>
            <w:top w:w="0" w:type="dxa"/>
            <w:left w:w="108" w:type="dxa"/>
            <w:bottom w:w="0" w:type="dxa"/>
            <w:right w:w="108" w:type="dxa"/>
          </w:tblCellMar>
        </w:tblPrEx>
        <w:trPr>
          <w:trHeight w:val="400" w:hRule="atLeast"/>
        </w:trPr>
        <w:tc>
          <w:tcPr>
            <w:tcW w:w="1701" w:type="dxa"/>
            <w:tcBorders>
              <w:top w:val="single" w:color="000000" w:sz="4" w:space="0"/>
              <w:left w:val="nil"/>
              <w:bottom w:val="single" w:color="000000" w:sz="4" w:space="0"/>
              <w:right w:val="dashSmallGap" w:color="auto" w:sz="4" w:space="0"/>
            </w:tcBorders>
            <w:shd w:val="clear" w:color="auto" w:fill="auto"/>
            <w:noWrap/>
            <w:vAlign w:val="center"/>
          </w:tcPr>
          <w:p w14:paraId="32874056">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hanging="3" w:firstLineChars="0"/>
              <w:jc w:val="center"/>
              <w:textAlignment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kern w:val="0"/>
                <w:sz w:val="24"/>
                <w:szCs w:val="24"/>
              </w:rPr>
              <w:t>3月</w:t>
            </w:r>
          </w:p>
        </w:tc>
        <w:tc>
          <w:tcPr>
            <w:tcW w:w="3408" w:type="dxa"/>
            <w:tcBorders>
              <w:top w:val="single" w:color="000000" w:sz="4" w:space="0"/>
              <w:left w:val="dashSmallGap" w:color="auto" w:sz="4" w:space="0"/>
              <w:bottom w:val="single" w:color="000000" w:sz="4" w:space="0"/>
              <w:right w:val="dashSmallGap" w:color="auto" w:sz="4" w:space="0"/>
            </w:tcBorders>
            <w:shd w:val="clear" w:color="auto" w:fill="auto"/>
            <w:noWrap/>
            <w:vAlign w:val="center"/>
          </w:tcPr>
          <w:p w14:paraId="002B2EB1">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849" w:leftChars="0" w:right="0" w:hanging="849" w:hangingChars="354"/>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0.289 </w:t>
            </w:r>
          </w:p>
        </w:tc>
        <w:tc>
          <w:tcPr>
            <w:tcW w:w="3409" w:type="dxa"/>
            <w:tcBorders>
              <w:top w:val="single" w:color="000000" w:sz="4" w:space="0"/>
              <w:left w:val="dashSmallGap" w:color="auto" w:sz="4" w:space="0"/>
              <w:bottom w:val="single" w:color="000000" w:sz="4" w:space="0"/>
              <w:right w:val="nil"/>
            </w:tcBorders>
            <w:shd w:val="clear" w:color="auto" w:fill="auto"/>
            <w:noWrap/>
            <w:vAlign w:val="center"/>
          </w:tcPr>
          <w:p w14:paraId="58162FFD">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849" w:leftChars="0" w:right="0" w:hanging="849" w:hangingChars="354"/>
              <w:jc w:val="center"/>
              <w:textAlignment w:val="center"/>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11.501 </w:t>
            </w:r>
          </w:p>
        </w:tc>
      </w:tr>
      <w:tr w14:paraId="3A78AB9E">
        <w:tblPrEx>
          <w:tblCellMar>
            <w:top w:w="0" w:type="dxa"/>
            <w:left w:w="108" w:type="dxa"/>
            <w:bottom w:w="0" w:type="dxa"/>
            <w:right w:w="108" w:type="dxa"/>
          </w:tblCellMar>
        </w:tblPrEx>
        <w:trPr>
          <w:trHeight w:val="400" w:hRule="atLeast"/>
        </w:trPr>
        <w:tc>
          <w:tcPr>
            <w:tcW w:w="1701" w:type="dxa"/>
            <w:tcBorders>
              <w:top w:val="single" w:color="000000" w:sz="4" w:space="0"/>
              <w:left w:val="nil"/>
              <w:bottom w:val="single" w:color="000000" w:sz="4" w:space="0"/>
              <w:right w:val="dashSmallGap" w:color="auto" w:sz="4" w:space="0"/>
            </w:tcBorders>
            <w:shd w:val="clear" w:color="auto" w:fill="auto"/>
            <w:noWrap/>
            <w:vAlign w:val="center"/>
          </w:tcPr>
          <w:p w14:paraId="72BE3082">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hanging="3" w:firstLineChars="0"/>
              <w:jc w:val="center"/>
              <w:textAlignment w:val="center"/>
              <w:rPr>
                <w:rFonts w:hint="default" w:ascii="Times New Roman" w:hAnsi="Times New Roman" w:eastAsia="宋体" w:cs="Times New Roman"/>
                <w:color w:val="auto"/>
                <w:kern w:val="2"/>
                <w:sz w:val="24"/>
                <w:szCs w:val="24"/>
                <w:lang w:val="en-US" w:eastAsia="zh-CN" w:bidi="ar-SA"/>
              </w:rPr>
            </w:pPr>
            <w:r>
              <w:rPr>
                <w:rFonts w:hint="default" w:ascii="Times New Roman" w:hAnsi="Times New Roman" w:eastAsia="宋体" w:cs="Times New Roman"/>
                <w:kern w:val="0"/>
                <w:sz w:val="24"/>
                <w:szCs w:val="24"/>
                <w:lang w:val="en-US" w:eastAsia="zh-CN"/>
              </w:rPr>
              <w:t>4月</w:t>
            </w:r>
          </w:p>
        </w:tc>
        <w:tc>
          <w:tcPr>
            <w:tcW w:w="3408" w:type="dxa"/>
            <w:tcBorders>
              <w:top w:val="single" w:color="000000" w:sz="4" w:space="0"/>
              <w:left w:val="dashSmallGap" w:color="auto" w:sz="4" w:space="0"/>
              <w:bottom w:val="single" w:color="000000" w:sz="4" w:space="0"/>
              <w:right w:val="dashSmallGap" w:color="auto" w:sz="4" w:space="0"/>
            </w:tcBorders>
            <w:shd w:val="clear" w:color="auto" w:fill="auto"/>
            <w:noWrap/>
            <w:vAlign w:val="center"/>
          </w:tcPr>
          <w:p w14:paraId="4040BEEE">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849" w:leftChars="0" w:right="0" w:hanging="849" w:hangingChars="354"/>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0.794 </w:t>
            </w:r>
          </w:p>
        </w:tc>
        <w:tc>
          <w:tcPr>
            <w:tcW w:w="3409" w:type="dxa"/>
            <w:tcBorders>
              <w:top w:val="single" w:color="000000" w:sz="4" w:space="0"/>
              <w:left w:val="dashSmallGap" w:color="auto" w:sz="4" w:space="0"/>
              <w:bottom w:val="single" w:color="000000" w:sz="4" w:space="0"/>
              <w:right w:val="nil"/>
            </w:tcBorders>
            <w:shd w:val="clear" w:color="auto" w:fill="auto"/>
            <w:noWrap/>
            <w:vAlign w:val="center"/>
          </w:tcPr>
          <w:p w14:paraId="5CD9D0A2">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849" w:leftChars="0" w:right="0" w:hanging="849" w:hangingChars="354"/>
              <w:jc w:val="center"/>
              <w:textAlignment w:val="center"/>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0.421 </w:t>
            </w:r>
          </w:p>
        </w:tc>
      </w:tr>
      <w:tr w14:paraId="488FCA67">
        <w:tblPrEx>
          <w:tblCellMar>
            <w:top w:w="0" w:type="dxa"/>
            <w:left w:w="108" w:type="dxa"/>
            <w:bottom w:w="0" w:type="dxa"/>
            <w:right w:w="108" w:type="dxa"/>
          </w:tblCellMar>
        </w:tblPrEx>
        <w:trPr>
          <w:trHeight w:val="400" w:hRule="atLeast"/>
        </w:trPr>
        <w:tc>
          <w:tcPr>
            <w:tcW w:w="1701" w:type="dxa"/>
            <w:tcBorders>
              <w:top w:val="single" w:color="000000" w:sz="4" w:space="0"/>
              <w:left w:val="nil"/>
              <w:bottom w:val="single" w:color="000000" w:sz="4" w:space="0"/>
              <w:right w:val="dashSmallGap" w:color="auto" w:sz="4" w:space="0"/>
            </w:tcBorders>
            <w:shd w:val="clear" w:color="auto" w:fill="auto"/>
            <w:noWrap/>
            <w:vAlign w:val="center"/>
          </w:tcPr>
          <w:p w14:paraId="1B45446C">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hanging="3" w:firstLineChars="0"/>
              <w:jc w:val="center"/>
              <w:textAlignment w:val="center"/>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kern w:val="0"/>
                <w:sz w:val="24"/>
                <w:szCs w:val="24"/>
                <w:lang w:val="en-US" w:eastAsia="zh-CN"/>
              </w:rPr>
              <w:t>5</w:t>
            </w:r>
            <w:r>
              <w:rPr>
                <w:rFonts w:hint="default" w:ascii="Times New Roman" w:hAnsi="Times New Roman" w:eastAsia="宋体" w:cs="Times New Roman"/>
                <w:kern w:val="0"/>
                <w:sz w:val="24"/>
                <w:szCs w:val="24"/>
              </w:rPr>
              <w:t>月</w:t>
            </w:r>
          </w:p>
        </w:tc>
        <w:tc>
          <w:tcPr>
            <w:tcW w:w="3408" w:type="dxa"/>
            <w:tcBorders>
              <w:top w:val="single" w:color="000000" w:sz="4" w:space="0"/>
              <w:left w:val="dashSmallGap" w:color="auto" w:sz="4" w:space="0"/>
              <w:bottom w:val="single" w:color="000000" w:sz="4" w:space="0"/>
              <w:right w:val="dashSmallGap" w:color="auto" w:sz="4" w:space="0"/>
            </w:tcBorders>
            <w:shd w:val="clear" w:color="auto" w:fill="auto"/>
            <w:noWrap/>
            <w:vAlign w:val="center"/>
          </w:tcPr>
          <w:p w14:paraId="4728D6DC">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849" w:leftChars="0" w:right="0" w:hanging="849" w:hangingChars="354"/>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1.373 </w:t>
            </w:r>
          </w:p>
        </w:tc>
        <w:tc>
          <w:tcPr>
            <w:tcW w:w="3409" w:type="dxa"/>
            <w:tcBorders>
              <w:top w:val="single" w:color="000000" w:sz="4" w:space="0"/>
              <w:left w:val="dashSmallGap" w:color="auto" w:sz="4" w:space="0"/>
              <w:bottom w:val="single" w:color="000000" w:sz="4" w:space="0"/>
              <w:right w:val="nil"/>
            </w:tcBorders>
            <w:shd w:val="clear" w:color="auto" w:fill="auto"/>
            <w:noWrap/>
            <w:vAlign w:val="center"/>
          </w:tcPr>
          <w:p w14:paraId="46966EC1">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849" w:leftChars="0" w:right="0" w:hanging="849" w:hangingChars="354"/>
              <w:jc w:val="center"/>
              <w:textAlignment w:val="center"/>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3.016 </w:t>
            </w:r>
          </w:p>
        </w:tc>
      </w:tr>
      <w:tr w14:paraId="452DB3BB">
        <w:tblPrEx>
          <w:tblCellMar>
            <w:top w:w="0" w:type="dxa"/>
            <w:left w:w="108" w:type="dxa"/>
            <w:bottom w:w="0" w:type="dxa"/>
            <w:right w:w="108" w:type="dxa"/>
          </w:tblCellMar>
        </w:tblPrEx>
        <w:trPr>
          <w:trHeight w:val="400" w:hRule="atLeast"/>
        </w:trPr>
        <w:tc>
          <w:tcPr>
            <w:tcW w:w="1701" w:type="dxa"/>
            <w:tcBorders>
              <w:top w:val="single" w:color="000000" w:sz="4" w:space="0"/>
              <w:left w:val="nil"/>
              <w:bottom w:val="single" w:color="000000" w:sz="4" w:space="0"/>
              <w:right w:val="dashSmallGap" w:color="auto" w:sz="4" w:space="0"/>
            </w:tcBorders>
            <w:shd w:val="clear" w:color="auto" w:fill="auto"/>
            <w:noWrap/>
            <w:vAlign w:val="center"/>
          </w:tcPr>
          <w:p w14:paraId="68A34440">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hanging="3" w:firstLineChars="0"/>
              <w:jc w:val="center"/>
              <w:textAlignment w:val="center"/>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kern w:val="0"/>
                <w:sz w:val="24"/>
                <w:szCs w:val="24"/>
                <w:lang w:val="en-US" w:eastAsia="zh-CN"/>
              </w:rPr>
              <w:t>6</w:t>
            </w:r>
            <w:r>
              <w:rPr>
                <w:rFonts w:hint="default" w:ascii="Times New Roman" w:hAnsi="Times New Roman" w:eastAsia="宋体" w:cs="Times New Roman"/>
                <w:kern w:val="0"/>
                <w:sz w:val="24"/>
                <w:szCs w:val="24"/>
              </w:rPr>
              <w:t>月</w:t>
            </w:r>
          </w:p>
        </w:tc>
        <w:tc>
          <w:tcPr>
            <w:tcW w:w="3408" w:type="dxa"/>
            <w:tcBorders>
              <w:top w:val="single" w:color="000000" w:sz="4" w:space="0"/>
              <w:left w:val="dashSmallGap" w:color="auto" w:sz="4" w:space="0"/>
              <w:bottom w:val="single" w:color="000000" w:sz="4" w:space="0"/>
              <w:right w:val="dashSmallGap" w:color="auto" w:sz="4" w:space="0"/>
            </w:tcBorders>
            <w:shd w:val="clear" w:color="auto" w:fill="auto"/>
            <w:noWrap/>
            <w:vAlign w:val="center"/>
          </w:tcPr>
          <w:p w14:paraId="7A6BED3C">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849" w:leftChars="0" w:right="0" w:hanging="849" w:hangingChars="354"/>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1.209 </w:t>
            </w:r>
          </w:p>
        </w:tc>
        <w:tc>
          <w:tcPr>
            <w:tcW w:w="3409" w:type="dxa"/>
            <w:tcBorders>
              <w:top w:val="single" w:color="000000" w:sz="4" w:space="0"/>
              <w:left w:val="dashSmallGap" w:color="auto" w:sz="4" w:space="0"/>
              <w:bottom w:val="single" w:color="000000" w:sz="4" w:space="0"/>
              <w:right w:val="nil"/>
            </w:tcBorders>
            <w:shd w:val="clear" w:color="auto" w:fill="auto"/>
            <w:noWrap/>
            <w:vAlign w:val="center"/>
          </w:tcPr>
          <w:p w14:paraId="43587C29">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849" w:leftChars="0" w:right="0" w:hanging="849" w:hangingChars="354"/>
              <w:jc w:val="center"/>
              <w:textAlignment w:val="center"/>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9.869 </w:t>
            </w:r>
          </w:p>
        </w:tc>
      </w:tr>
      <w:tr w14:paraId="5BF94611">
        <w:tblPrEx>
          <w:tblCellMar>
            <w:top w:w="0" w:type="dxa"/>
            <w:left w:w="108" w:type="dxa"/>
            <w:bottom w:w="0" w:type="dxa"/>
            <w:right w:w="108" w:type="dxa"/>
          </w:tblCellMar>
        </w:tblPrEx>
        <w:trPr>
          <w:trHeight w:val="400" w:hRule="atLeast"/>
        </w:trPr>
        <w:tc>
          <w:tcPr>
            <w:tcW w:w="1701" w:type="dxa"/>
            <w:tcBorders>
              <w:top w:val="single" w:color="000000" w:sz="4" w:space="0"/>
              <w:left w:val="nil"/>
              <w:bottom w:val="single" w:color="000000" w:sz="4" w:space="0"/>
              <w:right w:val="dashSmallGap" w:color="auto" w:sz="4" w:space="0"/>
            </w:tcBorders>
            <w:shd w:val="clear" w:color="auto" w:fill="auto"/>
            <w:noWrap/>
            <w:vAlign w:val="center"/>
          </w:tcPr>
          <w:p w14:paraId="4C0D6607">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hanging="3" w:firstLineChars="0"/>
              <w:jc w:val="center"/>
              <w:textAlignment w:val="center"/>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kern w:val="0"/>
                <w:sz w:val="24"/>
                <w:szCs w:val="24"/>
              </w:rPr>
              <w:t>7月</w:t>
            </w:r>
          </w:p>
        </w:tc>
        <w:tc>
          <w:tcPr>
            <w:tcW w:w="3408" w:type="dxa"/>
            <w:tcBorders>
              <w:top w:val="single" w:color="000000" w:sz="4" w:space="0"/>
              <w:left w:val="dashSmallGap" w:color="auto" w:sz="4" w:space="0"/>
              <w:bottom w:val="single" w:color="000000" w:sz="4" w:space="0"/>
              <w:right w:val="dashSmallGap" w:color="auto" w:sz="4" w:space="0"/>
            </w:tcBorders>
            <w:shd w:val="clear" w:color="auto" w:fill="auto"/>
            <w:noWrap/>
            <w:vAlign w:val="center"/>
          </w:tcPr>
          <w:p w14:paraId="4AB4CF15">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849" w:leftChars="0" w:right="0" w:hanging="849" w:hangingChars="354"/>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0.969 </w:t>
            </w:r>
          </w:p>
        </w:tc>
        <w:tc>
          <w:tcPr>
            <w:tcW w:w="3409" w:type="dxa"/>
            <w:tcBorders>
              <w:top w:val="single" w:color="000000" w:sz="4" w:space="0"/>
              <w:left w:val="dashSmallGap" w:color="auto" w:sz="4" w:space="0"/>
              <w:bottom w:val="single" w:color="000000" w:sz="4" w:space="0"/>
              <w:right w:val="nil"/>
            </w:tcBorders>
            <w:shd w:val="clear" w:color="auto" w:fill="auto"/>
            <w:noWrap/>
            <w:vAlign w:val="center"/>
          </w:tcPr>
          <w:p w14:paraId="00615C0C">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849" w:leftChars="0" w:right="0" w:hanging="849" w:hangingChars="354"/>
              <w:jc w:val="center"/>
              <w:textAlignment w:val="center"/>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15.613 </w:t>
            </w:r>
          </w:p>
        </w:tc>
      </w:tr>
      <w:tr w14:paraId="0B23AA13">
        <w:tblPrEx>
          <w:tblCellMar>
            <w:top w:w="0" w:type="dxa"/>
            <w:left w:w="108" w:type="dxa"/>
            <w:bottom w:w="0" w:type="dxa"/>
            <w:right w:w="108" w:type="dxa"/>
          </w:tblCellMar>
        </w:tblPrEx>
        <w:trPr>
          <w:trHeight w:val="400" w:hRule="atLeast"/>
        </w:trPr>
        <w:tc>
          <w:tcPr>
            <w:tcW w:w="1701" w:type="dxa"/>
            <w:tcBorders>
              <w:top w:val="single" w:color="000000" w:sz="4" w:space="0"/>
              <w:left w:val="nil"/>
              <w:bottom w:val="single" w:color="000000" w:sz="4" w:space="0"/>
              <w:right w:val="dashSmallGap" w:color="auto" w:sz="4" w:space="0"/>
            </w:tcBorders>
            <w:shd w:val="clear" w:color="auto" w:fill="auto"/>
            <w:noWrap/>
            <w:vAlign w:val="center"/>
          </w:tcPr>
          <w:p w14:paraId="02D35857">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hanging="3" w:firstLineChars="0"/>
              <w:jc w:val="center"/>
              <w:textAlignment w:val="center"/>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kern w:val="0"/>
                <w:sz w:val="24"/>
                <w:szCs w:val="24"/>
              </w:rPr>
              <w:t>8月</w:t>
            </w:r>
          </w:p>
        </w:tc>
        <w:tc>
          <w:tcPr>
            <w:tcW w:w="3408" w:type="dxa"/>
            <w:tcBorders>
              <w:top w:val="single" w:color="000000" w:sz="4" w:space="0"/>
              <w:left w:val="dashSmallGap" w:color="auto" w:sz="4" w:space="0"/>
              <w:bottom w:val="single" w:color="000000" w:sz="4" w:space="0"/>
              <w:right w:val="dashSmallGap" w:color="auto" w:sz="4" w:space="0"/>
            </w:tcBorders>
            <w:shd w:val="clear" w:color="auto" w:fill="auto"/>
            <w:noWrap/>
            <w:vAlign w:val="center"/>
          </w:tcPr>
          <w:p w14:paraId="1FCEAD10">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849" w:leftChars="0" w:right="0" w:hanging="849" w:hangingChars="354"/>
              <w:jc w:val="center"/>
              <w:textAlignment w:val="center"/>
              <w:rPr>
                <w:rFonts w:hint="default" w:ascii="Times New Roman" w:hAnsi="Times New Roman" w:eastAsia="宋体" w:cs="Times New Roman"/>
                <w:kern w:val="0"/>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0.627 </w:t>
            </w:r>
          </w:p>
        </w:tc>
        <w:tc>
          <w:tcPr>
            <w:tcW w:w="3409" w:type="dxa"/>
            <w:tcBorders>
              <w:top w:val="single" w:color="000000" w:sz="4" w:space="0"/>
              <w:left w:val="dashSmallGap" w:color="auto" w:sz="4" w:space="0"/>
              <w:bottom w:val="single" w:color="000000" w:sz="4" w:space="0"/>
              <w:right w:val="nil"/>
            </w:tcBorders>
            <w:shd w:val="clear" w:color="auto" w:fill="auto"/>
            <w:noWrap/>
            <w:vAlign w:val="center"/>
          </w:tcPr>
          <w:p w14:paraId="3C199C66">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849" w:leftChars="0" w:right="0" w:hanging="849" w:hangingChars="354"/>
              <w:jc w:val="center"/>
              <w:textAlignment w:val="center"/>
              <w:rPr>
                <w:rFonts w:hint="default" w:ascii="Times New Roman" w:hAnsi="Times New Roman" w:eastAsia="宋体" w:cs="Times New Roman"/>
                <w:kern w:val="0"/>
                <w:sz w:val="24"/>
                <w:szCs w:val="24"/>
                <w:lang w:val="en-US"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1.166 </w:t>
            </w:r>
          </w:p>
        </w:tc>
      </w:tr>
      <w:tr w14:paraId="4B172DAC">
        <w:tblPrEx>
          <w:tblCellMar>
            <w:top w:w="0" w:type="dxa"/>
            <w:left w:w="108" w:type="dxa"/>
            <w:bottom w:w="0" w:type="dxa"/>
            <w:right w:w="108" w:type="dxa"/>
          </w:tblCellMar>
        </w:tblPrEx>
        <w:trPr>
          <w:trHeight w:val="400" w:hRule="atLeast"/>
        </w:trPr>
        <w:tc>
          <w:tcPr>
            <w:tcW w:w="1701" w:type="dxa"/>
            <w:tcBorders>
              <w:top w:val="single" w:color="000000" w:sz="4" w:space="0"/>
              <w:left w:val="nil"/>
              <w:bottom w:val="single" w:color="000000" w:sz="4" w:space="0"/>
              <w:right w:val="dashSmallGap" w:color="auto" w:sz="4" w:space="0"/>
            </w:tcBorders>
            <w:shd w:val="clear" w:color="auto" w:fill="auto"/>
            <w:noWrap/>
            <w:vAlign w:val="center"/>
          </w:tcPr>
          <w:p w14:paraId="38C79CDF">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hanging="3" w:firstLineChars="0"/>
              <w:jc w:val="center"/>
              <w:textAlignment w:val="center"/>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kern w:val="0"/>
                <w:sz w:val="24"/>
                <w:szCs w:val="24"/>
              </w:rPr>
              <w:t>9月</w:t>
            </w:r>
          </w:p>
        </w:tc>
        <w:tc>
          <w:tcPr>
            <w:tcW w:w="3408" w:type="dxa"/>
            <w:tcBorders>
              <w:top w:val="single" w:color="000000" w:sz="4" w:space="0"/>
              <w:left w:val="dashSmallGap" w:color="auto" w:sz="4" w:space="0"/>
              <w:bottom w:val="single" w:color="000000" w:sz="4" w:space="0"/>
              <w:right w:val="dashSmallGap" w:color="auto" w:sz="4" w:space="0"/>
            </w:tcBorders>
            <w:shd w:val="clear" w:color="auto" w:fill="auto"/>
            <w:noWrap/>
            <w:vAlign w:val="center"/>
          </w:tcPr>
          <w:p w14:paraId="4C79F429">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849" w:leftChars="0" w:right="0" w:hanging="849" w:hangingChars="354"/>
              <w:jc w:val="center"/>
              <w:textAlignment w:val="center"/>
              <w:rPr>
                <w:rFonts w:hint="default" w:ascii="Times New Roman" w:hAnsi="Times New Roman" w:eastAsia="宋体" w:cs="Times New Roman"/>
                <w:kern w:val="0"/>
                <w:sz w:val="24"/>
                <w:szCs w:val="24"/>
              </w:rPr>
            </w:pPr>
            <w:r>
              <w:rPr>
                <w:rFonts w:hint="default" w:ascii="Times New Roman" w:hAnsi="Times New Roman" w:eastAsia="宋体" w:cs="Times New Roman"/>
                <w:i w:val="0"/>
                <w:iCs w:val="0"/>
                <w:color w:val="000000"/>
                <w:kern w:val="0"/>
                <w:sz w:val="24"/>
                <w:szCs w:val="24"/>
                <w:u w:val="none"/>
                <w:lang w:val="en-US" w:eastAsia="zh-CN" w:bidi="ar"/>
              </w:rPr>
              <w:t xml:space="preserve">1.601 </w:t>
            </w:r>
          </w:p>
        </w:tc>
        <w:tc>
          <w:tcPr>
            <w:tcW w:w="3409" w:type="dxa"/>
            <w:tcBorders>
              <w:top w:val="single" w:color="000000" w:sz="4" w:space="0"/>
              <w:left w:val="dashSmallGap" w:color="auto" w:sz="4" w:space="0"/>
              <w:bottom w:val="single" w:color="000000" w:sz="4" w:space="0"/>
              <w:right w:val="nil"/>
            </w:tcBorders>
            <w:shd w:val="clear" w:color="auto" w:fill="auto"/>
            <w:noWrap/>
            <w:vAlign w:val="center"/>
          </w:tcPr>
          <w:p w14:paraId="5CE5122A">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849" w:leftChars="0" w:right="0" w:hanging="849" w:hangingChars="354"/>
              <w:jc w:val="center"/>
              <w:textAlignment w:val="center"/>
              <w:rPr>
                <w:rStyle w:val="129"/>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i w:val="0"/>
                <w:iCs w:val="0"/>
                <w:color w:val="000000"/>
                <w:kern w:val="0"/>
                <w:sz w:val="24"/>
                <w:szCs w:val="24"/>
                <w:u w:val="none"/>
                <w:lang w:val="en-US" w:eastAsia="zh-CN" w:bidi="ar"/>
              </w:rPr>
              <w:t xml:space="preserve">3.301 </w:t>
            </w:r>
          </w:p>
        </w:tc>
      </w:tr>
      <w:tr w14:paraId="3A6E6005">
        <w:tblPrEx>
          <w:tblCellMar>
            <w:top w:w="0" w:type="dxa"/>
            <w:left w:w="108" w:type="dxa"/>
            <w:bottom w:w="0" w:type="dxa"/>
            <w:right w:w="108" w:type="dxa"/>
          </w:tblCellMar>
        </w:tblPrEx>
        <w:trPr>
          <w:trHeight w:val="400" w:hRule="atLeast"/>
        </w:trPr>
        <w:tc>
          <w:tcPr>
            <w:tcW w:w="1701" w:type="dxa"/>
            <w:tcBorders>
              <w:top w:val="single" w:color="000000" w:sz="4" w:space="0"/>
              <w:left w:val="nil"/>
              <w:bottom w:val="single" w:color="000000" w:sz="4" w:space="0"/>
              <w:right w:val="dashSmallGap" w:color="auto" w:sz="4" w:space="0"/>
            </w:tcBorders>
            <w:shd w:val="clear" w:color="auto" w:fill="auto"/>
            <w:noWrap/>
            <w:vAlign w:val="center"/>
          </w:tcPr>
          <w:p w14:paraId="2AE2DA12">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hanging="3" w:firstLineChars="0"/>
              <w:jc w:val="center"/>
              <w:textAlignment w:val="center"/>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sz w:val="24"/>
                <w:szCs w:val="24"/>
              </w:rPr>
              <w:t>10月</w:t>
            </w:r>
          </w:p>
        </w:tc>
        <w:tc>
          <w:tcPr>
            <w:tcW w:w="3408" w:type="dxa"/>
            <w:tcBorders>
              <w:top w:val="single" w:color="000000" w:sz="4" w:space="0"/>
              <w:left w:val="dashSmallGap" w:color="auto" w:sz="4" w:space="0"/>
              <w:bottom w:val="single" w:color="000000" w:sz="4" w:space="0"/>
              <w:right w:val="dashSmallGap" w:color="auto" w:sz="4" w:space="0"/>
            </w:tcBorders>
            <w:shd w:val="clear" w:color="auto" w:fill="auto"/>
            <w:noWrap/>
            <w:vAlign w:val="center"/>
          </w:tcPr>
          <w:p w14:paraId="6507D907">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849" w:leftChars="0" w:right="0" w:hanging="849" w:hangingChars="354"/>
              <w:jc w:val="center"/>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0.197 </w:t>
            </w:r>
          </w:p>
        </w:tc>
        <w:tc>
          <w:tcPr>
            <w:tcW w:w="3409" w:type="dxa"/>
            <w:tcBorders>
              <w:top w:val="single" w:color="000000" w:sz="4" w:space="0"/>
              <w:left w:val="dashSmallGap" w:color="auto" w:sz="4" w:space="0"/>
              <w:bottom w:val="single" w:color="000000" w:sz="4" w:space="0"/>
              <w:right w:val="nil"/>
            </w:tcBorders>
            <w:shd w:val="clear" w:color="auto" w:fill="auto"/>
            <w:noWrap/>
            <w:vAlign w:val="center"/>
          </w:tcPr>
          <w:p w14:paraId="4887CCD1">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849" w:leftChars="0" w:right="0" w:hanging="849" w:hangingChars="354"/>
              <w:jc w:val="center"/>
              <w:textAlignment w:val="center"/>
              <w:rPr>
                <w:rStyle w:val="129"/>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i w:val="0"/>
                <w:iCs w:val="0"/>
                <w:color w:val="000000"/>
                <w:kern w:val="0"/>
                <w:sz w:val="24"/>
                <w:szCs w:val="24"/>
                <w:u w:val="none"/>
                <w:lang w:val="en-US" w:eastAsia="zh-CN" w:bidi="ar"/>
              </w:rPr>
              <w:t xml:space="preserve">3.447 </w:t>
            </w:r>
          </w:p>
        </w:tc>
      </w:tr>
      <w:tr w14:paraId="5FB21797">
        <w:tblPrEx>
          <w:tblCellMar>
            <w:top w:w="0" w:type="dxa"/>
            <w:left w:w="108" w:type="dxa"/>
            <w:bottom w:w="0" w:type="dxa"/>
            <w:right w:w="108" w:type="dxa"/>
          </w:tblCellMar>
        </w:tblPrEx>
        <w:trPr>
          <w:trHeight w:val="400" w:hRule="atLeast"/>
        </w:trPr>
        <w:tc>
          <w:tcPr>
            <w:tcW w:w="1701" w:type="dxa"/>
            <w:tcBorders>
              <w:top w:val="single" w:color="000000" w:sz="4" w:space="0"/>
              <w:left w:val="nil"/>
              <w:bottom w:val="single" w:color="000000" w:sz="4" w:space="0"/>
              <w:right w:val="dashSmallGap" w:color="auto" w:sz="4" w:space="0"/>
            </w:tcBorders>
            <w:shd w:val="clear" w:color="auto" w:fill="auto"/>
            <w:noWrap/>
            <w:vAlign w:val="center"/>
          </w:tcPr>
          <w:p w14:paraId="537469EA">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hanging="3" w:firstLineChars="0"/>
              <w:jc w:val="center"/>
              <w:textAlignment w:val="center"/>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sz w:val="24"/>
                <w:szCs w:val="24"/>
              </w:rPr>
              <w:t>11月</w:t>
            </w:r>
          </w:p>
        </w:tc>
        <w:tc>
          <w:tcPr>
            <w:tcW w:w="3408" w:type="dxa"/>
            <w:tcBorders>
              <w:top w:val="single" w:color="000000" w:sz="4" w:space="0"/>
              <w:left w:val="dashSmallGap" w:color="auto" w:sz="4" w:space="0"/>
              <w:bottom w:val="single" w:color="000000" w:sz="4" w:space="0"/>
              <w:right w:val="dashSmallGap" w:color="auto" w:sz="4" w:space="0"/>
            </w:tcBorders>
            <w:shd w:val="clear" w:color="auto" w:fill="auto"/>
            <w:noWrap/>
            <w:vAlign w:val="center"/>
          </w:tcPr>
          <w:p w14:paraId="6E821EE6">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849" w:leftChars="0" w:right="0" w:hanging="849" w:hangingChars="354"/>
              <w:jc w:val="center"/>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0.622 </w:t>
            </w:r>
          </w:p>
        </w:tc>
        <w:tc>
          <w:tcPr>
            <w:tcW w:w="3409" w:type="dxa"/>
            <w:tcBorders>
              <w:top w:val="single" w:color="000000" w:sz="4" w:space="0"/>
              <w:left w:val="dashSmallGap" w:color="auto" w:sz="4" w:space="0"/>
              <w:bottom w:val="single" w:color="000000" w:sz="4" w:space="0"/>
              <w:right w:val="nil"/>
            </w:tcBorders>
            <w:shd w:val="clear" w:color="auto" w:fill="auto"/>
            <w:noWrap/>
            <w:vAlign w:val="center"/>
          </w:tcPr>
          <w:p w14:paraId="0E5FD923">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849" w:leftChars="0" w:right="0" w:hanging="849" w:hangingChars="354"/>
              <w:jc w:val="center"/>
              <w:textAlignment w:val="center"/>
              <w:rPr>
                <w:rStyle w:val="129"/>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i w:val="0"/>
                <w:iCs w:val="0"/>
                <w:color w:val="000000"/>
                <w:kern w:val="0"/>
                <w:sz w:val="24"/>
                <w:szCs w:val="24"/>
                <w:u w:val="none"/>
                <w:lang w:val="en-US" w:eastAsia="zh-CN" w:bidi="ar"/>
              </w:rPr>
              <w:t xml:space="preserve">33.344 </w:t>
            </w:r>
          </w:p>
        </w:tc>
      </w:tr>
      <w:tr w14:paraId="10BEB56B">
        <w:tblPrEx>
          <w:tblCellMar>
            <w:top w:w="0" w:type="dxa"/>
            <w:left w:w="108" w:type="dxa"/>
            <w:bottom w:w="0" w:type="dxa"/>
            <w:right w:w="108" w:type="dxa"/>
          </w:tblCellMar>
        </w:tblPrEx>
        <w:trPr>
          <w:trHeight w:val="400" w:hRule="atLeast"/>
        </w:trPr>
        <w:tc>
          <w:tcPr>
            <w:tcW w:w="1701" w:type="dxa"/>
            <w:tcBorders>
              <w:top w:val="single" w:color="000000" w:sz="4" w:space="0"/>
              <w:left w:val="nil"/>
              <w:bottom w:val="single" w:color="000000" w:sz="4" w:space="0"/>
              <w:right w:val="dashSmallGap" w:color="auto" w:sz="4" w:space="0"/>
            </w:tcBorders>
            <w:shd w:val="clear" w:color="auto" w:fill="auto"/>
            <w:noWrap/>
            <w:vAlign w:val="center"/>
          </w:tcPr>
          <w:p w14:paraId="547C2A7C">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hanging="3" w:firstLineChars="0"/>
              <w:jc w:val="center"/>
              <w:textAlignment w:val="center"/>
              <w:rPr>
                <w:rFonts w:hint="default" w:ascii="Times New Roman" w:hAnsi="Times New Roman" w:eastAsia="宋体" w:cs="Times New Roman"/>
                <w:color w:val="auto"/>
                <w:kern w:val="0"/>
                <w:sz w:val="24"/>
                <w:szCs w:val="24"/>
                <w:lang w:val="en-US" w:eastAsia="zh-CN" w:bidi="ar"/>
              </w:rPr>
            </w:pPr>
            <w:r>
              <w:rPr>
                <w:rFonts w:hint="default" w:ascii="Times New Roman" w:hAnsi="Times New Roman" w:eastAsia="宋体" w:cs="Times New Roman"/>
                <w:sz w:val="24"/>
                <w:szCs w:val="24"/>
              </w:rPr>
              <w:t>12月</w:t>
            </w:r>
          </w:p>
        </w:tc>
        <w:tc>
          <w:tcPr>
            <w:tcW w:w="3408" w:type="dxa"/>
            <w:tcBorders>
              <w:top w:val="single" w:color="000000" w:sz="4" w:space="0"/>
              <w:left w:val="dashSmallGap" w:color="auto" w:sz="4" w:space="0"/>
              <w:bottom w:val="single" w:color="000000" w:sz="4" w:space="0"/>
              <w:right w:val="dashSmallGap" w:color="auto" w:sz="4" w:space="0"/>
            </w:tcBorders>
            <w:shd w:val="clear" w:color="auto" w:fill="auto"/>
            <w:noWrap/>
            <w:vAlign w:val="center"/>
          </w:tcPr>
          <w:p w14:paraId="23439215">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849" w:leftChars="0" w:right="0" w:hanging="849" w:hangingChars="354"/>
              <w:jc w:val="center"/>
              <w:textAlignment w:val="center"/>
              <w:rPr>
                <w:rFonts w:hint="default" w:ascii="Times New Roman" w:hAnsi="Times New Roman" w:eastAsia="宋体" w:cs="Times New Roman"/>
                <w:kern w:val="2"/>
                <w:sz w:val="24"/>
                <w:szCs w:val="24"/>
                <w:lang w:val="en-US" w:eastAsia="zh-CN" w:bidi="ar-SA"/>
              </w:rPr>
            </w:pPr>
            <w:r>
              <w:rPr>
                <w:rFonts w:hint="default" w:ascii="Times New Roman" w:hAnsi="Times New Roman" w:eastAsia="宋体" w:cs="Times New Roman"/>
                <w:i w:val="0"/>
                <w:iCs w:val="0"/>
                <w:color w:val="000000"/>
                <w:kern w:val="0"/>
                <w:sz w:val="24"/>
                <w:szCs w:val="24"/>
                <w:u w:val="none"/>
                <w:lang w:val="en-US" w:eastAsia="zh-CN" w:bidi="ar"/>
              </w:rPr>
              <w:t xml:space="preserve">0.661 </w:t>
            </w:r>
          </w:p>
        </w:tc>
        <w:tc>
          <w:tcPr>
            <w:tcW w:w="3409" w:type="dxa"/>
            <w:tcBorders>
              <w:top w:val="single" w:color="000000" w:sz="4" w:space="0"/>
              <w:left w:val="dashSmallGap" w:color="auto" w:sz="4" w:space="0"/>
              <w:bottom w:val="single" w:color="000000" w:sz="4" w:space="0"/>
              <w:right w:val="nil"/>
            </w:tcBorders>
            <w:shd w:val="clear" w:color="auto" w:fill="auto"/>
            <w:noWrap/>
            <w:vAlign w:val="center"/>
          </w:tcPr>
          <w:p w14:paraId="4E0C279E">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849" w:leftChars="0" w:right="0" w:hanging="849" w:hangingChars="354"/>
              <w:jc w:val="center"/>
              <w:textAlignment w:val="center"/>
              <w:rPr>
                <w:rStyle w:val="129"/>
                <w:rFonts w:hint="default" w:ascii="Times New Roman" w:hAnsi="Times New Roman" w:eastAsia="宋体" w:cs="Times New Roman"/>
                <w:color w:val="auto"/>
                <w:kern w:val="0"/>
                <w:sz w:val="24"/>
                <w:szCs w:val="24"/>
                <w:lang w:bidi="ar"/>
              </w:rPr>
            </w:pPr>
            <w:r>
              <w:rPr>
                <w:rFonts w:hint="default" w:ascii="Times New Roman" w:hAnsi="Times New Roman" w:eastAsia="宋体" w:cs="Times New Roman"/>
                <w:i w:val="0"/>
                <w:iCs w:val="0"/>
                <w:color w:val="000000"/>
                <w:kern w:val="0"/>
                <w:sz w:val="24"/>
                <w:szCs w:val="24"/>
                <w:u w:val="none"/>
                <w:lang w:val="en-US" w:eastAsia="zh-CN" w:bidi="ar"/>
              </w:rPr>
              <w:t xml:space="preserve">50.213 </w:t>
            </w:r>
          </w:p>
        </w:tc>
      </w:tr>
      <w:tr w14:paraId="5BA05098">
        <w:tblPrEx>
          <w:tblCellMar>
            <w:top w:w="0" w:type="dxa"/>
            <w:left w:w="108" w:type="dxa"/>
            <w:bottom w:w="0" w:type="dxa"/>
            <w:right w:w="108" w:type="dxa"/>
          </w:tblCellMar>
        </w:tblPrEx>
        <w:trPr>
          <w:trHeight w:val="400" w:hRule="atLeast"/>
        </w:trPr>
        <w:tc>
          <w:tcPr>
            <w:tcW w:w="1701" w:type="dxa"/>
            <w:tcBorders>
              <w:top w:val="single" w:color="auto" w:sz="4" w:space="0"/>
              <w:left w:val="nil"/>
              <w:bottom w:val="single" w:color="auto" w:sz="12" w:space="0"/>
              <w:right w:val="dashSmallGap" w:color="auto" w:sz="4" w:space="0"/>
            </w:tcBorders>
            <w:shd w:val="clear" w:color="auto" w:fill="auto"/>
            <w:noWrap/>
            <w:vAlign w:val="center"/>
          </w:tcPr>
          <w:p w14:paraId="059BF4A2">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leftChars="0" w:right="0" w:firstLine="0" w:firstLineChars="0"/>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color w:val="auto"/>
                <w:kern w:val="0"/>
                <w:sz w:val="24"/>
                <w:szCs w:val="24"/>
                <w:lang w:val="en-US" w:eastAsia="zh-CN" w:bidi="ar"/>
              </w:rPr>
              <w:t>平均值</w:t>
            </w:r>
          </w:p>
        </w:tc>
        <w:tc>
          <w:tcPr>
            <w:tcW w:w="3408" w:type="dxa"/>
            <w:tcBorders>
              <w:top w:val="single" w:color="auto" w:sz="4" w:space="0"/>
              <w:left w:val="dashSmallGap" w:color="auto" w:sz="4" w:space="0"/>
              <w:bottom w:val="single" w:color="auto" w:sz="12" w:space="0"/>
              <w:right w:val="dashSmallGap" w:color="auto" w:sz="4" w:space="0"/>
            </w:tcBorders>
            <w:shd w:val="clear" w:color="auto" w:fill="auto"/>
            <w:noWrap/>
            <w:vAlign w:val="center"/>
          </w:tcPr>
          <w:p w14:paraId="51403490">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849" w:leftChars="0" w:right="0" w:hanging="849" w:hangingChars="354"/>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0.755 </w:t>
            </w:r>
          </w:p>
        </w:tc>
        <w:tc>
          <w:tcPr>
            <w:tcW w:w="3409" w:type="dxa"/>
            <w:tcBorders>
              <w:top w:val="single" w:color="auto" w:sz="4" w:space="0"/>
              <w:left w:val="dashSmallGap" w:color="auto" w:sz="4" w:space="0"/>
              <w:bottom w:val="single" w:color="auto" w:sz="12" w:space="0"/>
              <w:right w:val="nil"/>
            </w:tcBorders>
            <w:shd w:val="clear" w:color="auto" w:fill="auto"/>
            <w:noWrap/>
            <w:vAlign w:val="center"/>
          </w:tcPr>
          <w:p w14:paraId="5218C677">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849" w:leftChars="0" w:right="0" w:hanging="849" w:hangingChars="354"/>
              <w:jc w:val="center"/>
              <w:textAlignment w:val="center"/>
              <w:rPr>
                <w:rFonts w:hint="default" w:ascii="Times New Roman" w:hAnsi="Times New Roman" w:eastAsia="宋体" w:cs="Times New Roman"/>
                <w:color w:val="auto"/>
                <w:sz w:val="24"/>
                <w:szCs w:val="24"/>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14.834 </w:t>
            </w:r>
          </w:p>
        </w:tc>
      </w:tr>
    </w:tbl>
    <w:p w14:paraId="524F12AA">
      <w:pPr>
        <w:pStyle w:val="110"/>
        <w:numPr>
          <w:ilvl w:val="1"/>
          <w:numId w:val="0"/>
        </w:numPr>
        <w:bidi w:val="0"/>
        <w:rPr>
          <w:rFonts w:hint="eastAsia"/>
        </w:rPr>
      </w:pPr>
      <w:bookmarkStart w:id="72" w:name="_Toc8184"/>
      <w:r>
        <w:rPr>
          <w:rFonts w:hint="eastAsia"/>
        </w:rPr>
        <w:t>A.2</w:t>
      </w:r>
      <w:r>
        <w:rPr>
          <w:rFonts w:hint="eastAsia"/>
          <w:lang w:val="en-US" w:eastAsia="zh-CN"/>
        </w:rPr>
        <w:t xml:space="preserve"> </w:t>
      </w:r>
      <w:r>
        <w:rPr>
          <w:rFonts w:hint="eastAsia"/>
        </w:rPr>
        <w:tab/>
      </w:r>
      <w:r>
        <w:rPr>
          <w:rFonts w:hint="eastAsia"/>
        </w:rPr>
        <w:t>污泥处理过程直接排放因子</w:t>
      </w:r>
      <w:bookmarkEnd w:id="72"/>
    </w:p>
    <w:p w14:paraId="52AA9C53">
      <w:pPr>
        <w:pStyle w:val="107"/>
        <w:numPr>
          <w:ilvl w:val="2"/>
          <w:numId w:val="0"/>
        </w:numPr>
        <w:rPr>
          <w:rFonts w:hint="eastAsia"/>
          <w:color w:val="auto"/>
        </w:rPr>
      </w:pPr>
      <w:bookmarkStart w:id="73" w:name="_Toc178096610"/>
      <w:bookmarkEnd w:id="73"/>
      <w:bookmarkStart w:id="74" w:name="_Toc178096611"/>
      <w:bookmarkEnd w:id="74"/>
      <w:r>
        <w:rPr>
          <w:rFonts w:hint="eastAsia"/>
          <w:color w:val="auto"/>
        </w:rPr>
        <w:t>A.2.1</w:t>
      </w:r>
      <w:r>
        <w:rPr>
          <w:rFonts w:hint="eastAsia"/>
          <w:color w:val="auto"/>
        </w:rPr>
        <w:tab/>
      </w:r>
      <w:r>
        <w:rPr>
          <w:rFonts w:hint="eastAsia"/>
          <w:color w:val="auto"/>
        </w:rPr>
        <w:t>污泥厌氧消化过程甲烷逸散因子的确定</w:t>
      </w:r>
    </w:p>
    <w:p w14:paraId="635E0DE4">
      <w:pPr>
        <w:bidi w:val="0"/>
        <w:rPr>
          <w:rFonts w:hint="default"/>
        </w:rPr>
      </w:pPr>
      <w:r>
        <w:rPr>
          <w:rFonts w:hint="default"/>
        </w:rPr>
        <w:t>对消化池、沼气系统这样的大型构筑物，需采用移动示踪气体弥散法（MTDM）、逆弥散模拟法(IDMM)、径向羽流测绘（RPM）等方法。我国在此领域尚缺少</w:t>
      </w:r>
      <w:r>
        <w:rPr>
          <w:rFonts w:hint="eastAsia"/>
          <w:lang w:val="en-US" w:eastAsia="zh-CN"/>
        </w:rPr>
        <w:t>可靠的监测研究</w:t>
      </w:r>
      <w:r>
        <w:rPr>
          <w:rFonts w:hint="default"/>
        </w:rPr>
        <w:t>。</w:t>
      </w:r>
      <w:r>
        <w:rPr>
          <w:rFonts w:hint="eastAsia"/>
          <w:lang w:val="en-US" w:eastAsia="zh-CN"/>
        </w:rPr>
        <w:t>因</w:t>
      </w:r>
      <w:r>
        <w:rPr>
          <w:rFonts w:hint="default"/>
        </w:rPr>
        <w:t>此，本标准采用文献调研数据确定消化逸散</w:t>
      </w:r>
      <w:r>
        <w:rPr>
          <w:rFonts w:hint="eastAsia"/>
          <w:lang w:val="en-US" w:eastAsia="zh-CN"/>
        </w:rPr>
        <w:t>的排放</w:t>
      </w:r>
      <w:r>
        <w:rPr>
          <w:rFonts w:hint="default"/>
        </w:rPr>
        <w:t>因子。</w:t>
      </w:r>
    </w:p>
    <w:p w14:paraId="5C5F928C">
      <w:pPr>
        <w:bidi w:val="0"/>
        <w:rPr>
          <w:rFonts w:hint="default"/>
        </w:rPr>
      </w:pPr>
      <w:r>
        <w:rPr>
          <w:rFonts w:hint="default"/>
        </w:rPr>
        <w:t>IPCC提出的消化系统甲烷逸散因子范围为0%~10%，缺省建议值为5%。编制组对相关文献调研情况如表</w:t>
      </w:r>
      <w:r>
        <w:rPr>
          <w:rFonts w:hint="eastAsia"/>
          <w:lang w:val="en-US" w:eastAsia="zh-CN"/>
        </w:rPr>
        <w:t>A.</w:t>
      </w:r>
      <w:r>
        <w:rPr>
          <w:rFonts w:hint="default"/>
        </w:rPr>
        <w:t>4所示，由于部分样本值出现显著偏离，故采用中位值作为排放因子。</w:t>
      </w:r>
    </w:p>
    <w:p w14:paraId="2F333B22">
      <w:pPr>
        <w:bidi w:val="0"/>
        <w:jc w:val="center"/>
        <w:rPr>
          <w:rFonts w:hint="eastAsia"/>
          <w:vertAlign w:val="superscript"/>
          <w:lang w:val="en-US" w:eastAsia="zh-CN"/>
        </w:rPr>
      </w:pPr>
      <w:r>
        <w:rPr>
          <w:rFonts w:hint="default"/>
        </w:rPr>
        <w:t>表</w:t>
      </w:r>
      <w:r>
        <w:rPr>
          <w:rFonts w:hint="eastAsia"/>
          <w:lang w:val="en-US" w:eastAsia="zh-CN"/>
        </w:rPr>
        <w:t>A.4</w:t>
      </w:r>
      <w:r>
        <w:rPr>
          <w:rFonts w:hint="default"/>
        </w:rPr>
        <w:t xml:space="preserve"> </w:t>
      </w:r>
      <w:r>
        <w:rPr>
          <w:rFonts w:hint="eastAsia"/>
          <w:lang w:val="en-US" w:eastAsia="zh-CN"/>
        </w:rPr>
        <w:t>污泥厌氧消化设施</w:t>
      </w:r>
      <w:r>
        <w:rPr>
          <w:rFonts w:hint="default"/>
        </w:rPr>
        <w:t>甲烷</w:t>
      </w:r>
      <w:r>
        <w:rPr>
          <w:rFonts w:hint="eastAsia"/>
          <w:lang w:val="en-US" w:eastAsia="zh-CN"/>
        </w:rPr>
        <w:t>排放</w:t>
      </w:r>
      <w:r>
        <w:rPr>
          <w:rFonts w:hint="default"/>
        </w:rPr>
        <w:t>因子调研情况</w:t>
      </w:r>
      <w:r>
        <w:rPr>
          <w:rFonts w:hint="eastAsia"/>
          <w:vertAlign w:val="superscript"/>
          <w:lang w:val="en-US" w:eastAsia="zh-CN"/>
        </w:rPr>
        <w:t>[11-21]</w:t>
      </w:r>
    </w:p>
    <w:tbl>
      <w:tblPr>
        <w:tblStyle w:val="88"/>
        <w:tblW w:w="4998" w:type="pct"/>
        <w:tblInd w:w="0" w:type="dxa"/>
        <w:tblLayout w:type="autofit"/>
        <w:tblCellMar>
          <w:top w:w="0" w:type="dxa"/>
          <w:left w:w="108" w:type="dxa"/>
          <w:bottom w:w="0" w:type="dxa"/>
          <w:right w:w="108" w:type="dxa"/>
        </w:tblCellMar>
      </w:tblPr>
      <w:tblGrid>
        <w:gridCol w:w="1720"/>
        <w:gridCol w:w="3578"/>
        <w:gridCol w:w="3227"/>
      </w:tblGrid>
      <w:tr w14:paraId="07C39158">
        <w:tblPrEx>
          <w:tblCellMar>
            <w:top w:w="0" w:type="dxa"/>
            <w:left w:w="108" w:type="dxa"/>
            <w:bottom w:w="0" w:type="dxa"/>
            <w:right w:w="108" w:type="dxa"/>
          </w:tblCellMar>
        </w:tblPrEx>
        <w:trPr>
          <w:trHeight w:val="454" w:hRule="atLeast"/>
        </w:trPr>
        <w:tc>
          <w:tcPr>
            <w:tcW w:w="1009" w:type="pct"/>
            <w:tcBorders>
              <w:top w:val="single" w:color="auto" w:sz="12" w:space="0"/>
              <w:left w:val="nil"/>
              <w:bottom w:val="single" w:color="auto" w:sz="12" w:space="0"/>
              <w:right w:val="dashSmallGap" w:color="auto" w:sz="4" w:space="0"/>
            </w:tcBorders>
            <w:shd w:val="clear" w:color="auto" w:fill="auto"/>
            <w:noWrap/>
            <w:vAlign w:val="center"/>
          </w:tcPr>
          <w:p w14:paraId="3A583420">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jc w:val="center"/>
              <w:textAlignment w:val="center"/>
              <w:rPr>
                <w:rFonts w:hint="default" w:ascii="Times New Roman" w:hAnsi="Times New Roman" w:eastAsia="宋体" w:cs="Times New Roman"/>
                <w:b/>
                <w:bCs/>
                <w:sz w:val="24"/>
                <w:szCs w:val="24"/>
              </w:rPr>
            </w:pPr>
          </w:p>
        </w:tc>
        <w:tc>
          <w:tcPr>
            <w:tcW w:w="2098" w:type="pct"/>
            <w:tcBorders>
              <w:top w:val="single" w:color="auto" w:sz="12" w:space="0"/>
              <w:left w:val="dashSmallGap" w:color="auto" w:sz="4" w:space="0"/>
              <w:bottom w:val="single" w:color="auto" w:sz="12" w:space="0"/>
              <w:right w:val="dashSmallGap" w:color="auto" w:sz="4" w:space="0"/>
            </w:tcBorders>
            <w:shd w:val="clear" w:color="auto" w:fill="auto"/>
            <w:noWrap/>
            <w:vAlign w:val="center"/>
          </w:tcPr>
          <w:p w14:paraId="0173A7D6">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jc w:val="center"/>
              <w:textAlignment w:val="center"/>
              <w:rPr>
                <w:rStyle w:val="129"/>
                <w:rFonts w:hint="default" w:ascii="Times New Roman" w:hAnsi="Times New Roman" w:eastAsia="宋体" w:cs="Times New Roman"/>
                <w:b/>
                <w:bCs/>
                <w:color w:val="auto"/>
                <w:sz w:val="24"/>
                <w:szCs w:val="24"/>
                <w:lang w:bidi="ar"/>
              </w:rPr>
            </w:pPr>
            <w:r>
              <w:rPr>
                <w:rStyle w:val="129"/>
                <w:rFonts w:hint="default" w:ascii="Times New Roman" w:hAnsi="Times New Roman" w:eastAsia="宋体" w:cs="Times New Roman"/>
                <w:b/>
                <w:bCs/>
                <w:color w:val="auto"/>
                <w:sz w:val="24"/>
                <w:szCs w:val="24"/>
                <w:lang w:bidi="ar"/>
              </w:rPr>
              <w:t>混凝土设施</w:t>
            </w:r>
          </w:p>
        </w:tc>
        <w:tc>
          <w:tcPr>
            <w:tcW w:w="1892" w:type="pct"/>
            <w:tcBorders>
              <w:top w:val="single" w:color="auto" w:sz="12" w:space="0"/>
              <w:left w:val="dashSmallGap" w:color="auto" w:sz="4" w:space="0"/>
              <w:bottom w:val="single" w:color="auto" w:sz="12" w:space="0"/>
              <w:right w:val="nil"/>
            </w:tcBorders>
            <w:shd w:val="clear" w:color="auto" w:fill="auto"/>
            <w:noWrap/>
            <w:vAlign w:val="center"/>
          </w:tcPr>
          <w:p w14:paraId="08A5F518">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jc w:val="center"/>
              <w:textAlignment w:val="center"/>
              <w:rPr>
                <w:rFonts w:hint="default" w:ascii="Times New Roman" w:hAnsi="Times New Roman" w:eastAsia="宋体" w:cs="Times New Roman"/>
                <w:b/>
                <w:bCs/>
                <w:sz w:val="24"/>
                <w:szCs w:val="24"/>
              </w:rPr>
            </w:pPr>
            <w:r>
              <w:rPr>
                <w:rStyle w:val="129"/>
                <w:rFonts w:hint="default" w:ascii="Times New Roman" w:hAnsi="Times New Roman" w:eastAsia="宋体" w:cs="Times New Roman"/>
                <w:b/>
                <w:bCs/>
                <w:color w:val="auto"/>
                <w:sz w:val="24"/>
                <w:szCs w:val="24"/>
                <w:lang w:bidi="ar"/>
              </w:rPr>
              <w:t>双膜气柜</w:t>
            </w:r>
          </w:p>
        </w:tc>
      </w:tr>
      <w:tr w14:paraId="4108A945">
        <w:tblPrEx>
          <w:tblCellMar>
            <w:top w:w="0" w:type="dxa"/>
            <w:left w:w="108" w:type="dxa"/>
            <w:bottom w:w="0" w:type="dxa"/>
            <w:right w:w="108" w:type="dxa"/>
          </w:tblCellMar>
        </w:tblPrEx>
        <w:trPr>
          <w:trHeight w:val="90" w:hRule="atLeast"/>
        </w:trPr>
        <w:tc>
          <w:tcPr>
            <w:tcW w:w="1009" w:type="pct"/>
            <w:tcBorders>
              <w:top w:val="single" w:color="auto" w:sz="12" w:space="0"/>
              <w:left w:val="nil"/>
              <w:bottom w:val="dashSmallGap" w:color="auto" w:sz="4" w:space="0"/>
              <w:right w:val="dashSmallGap" w:color="auto" w:sz="4" w:space="0"/>
            </w:tcBorders>
            <w:shd w:val="clear" w:color="auto" w:fill="auto"/>
            <w:noWrap/>
            <w:vAlign w:val="center"/>
          </w:tcPr>
          <w:p w14:paraId="5B3EFB8C">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样本数</w:t>
            </w:r>
          </w:p>
        </w:tc>
        <w:tc>
          <w:tcPr>
            <w:tcW w:w="2098" w:type="pct"/>
            <w:tcBorders>
              <w:top w:val="single" w:color="auto" w:sz="12" w:space="0"/>
              <w:left w:val="dashSmallGap" w:color="auto" w:sz="4" w:space="0"/>
              <w:bottom w:val="dashSmallGap" w:color="auto" w:sz="4" w:space="0"/>
              <w:right w:val="dashSmallGap" w:color="auto" w:sz="4" w:space="0"/>
            </w:tcBorders>
            <w:shd w:val="clear" w:color="auto" w:fill="auto"/>
            <w:noWrap/>
            <w:vAlign w:val="center"/>
          </w:tcPr>
          <w:p w14:paraId="5E40055B">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jc w:val="center"/>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11</w:t>
            </w:r>
          </w:p>
        </w:tc>
        <w:tc>
          <w:tcPr>
            <w:tcW w:w="1892" w:type="pct"/>
            <w:tcBorders>
              <w:top w:val="single" w:color="auto" w:sz="12" w:space="0"/>
              <w:left w:val="dashSmallGap" w:color="auto" w:sz="4" w:space="0"/>
              <w:bottom w:val="dashSmallGap" w:color="auto" w:sz="4" w:space="0"/>
              <w:right w:val="nil"/>
            </w:tcBorders>
            <w:shd w:val="clear" w:color="auto" w:fill="auto"/>
            <w:noWrap/>
            <w:vAlign w:val="center"/>
          </w:tcPr>
          <w:p w14:paraId="330A6BB8">
            <w:pPr>
              <w:keepNext w:val="0"/>
              <w:keepLines w:val="0"/>
              <w:pageBreakBefore w:val="0"/>
              <w:suppressLineNumbers w:val="0"/>
              <w:kinsoku/>
              <w:wordWrap/>
              <w:overflowPunct/>
              <w:topLinePunct w:val="0"/>
              <w:autoSpaceDE/>
              <w:autoSpaceDN/>
              <w:bidi w:val="0"/>
              <w:adjustRightInd/>
              <w:snapToGrid/>
              <w:spacing w:before="0" w:after="0" w:line="240" w:lineRule="auto"/>
              <w:ind w:left="0" w:right="0"/>
              <w:jc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39</w:t>
            </w:r>
          </w:p>
        </w:tc>
      </w:tr>
      <w:tr w14:paraId="6248DFBA">
        <w:tblPrEx>
          <w:tblCellMar>
            <w:top w:w="0" w:type="dxa"/>
            <w:left w:w="108" w:type="dxa"/>
            <w:bottom w:w="0" w:type="dxa"/>
            <w:right w:w="108" w:type="dxa"/>
          </w:tblCellMar>
        </w:tblPrEx>
        <w:trPr>
          <w:trHeight w:val="500" w:hRule="atLeast"/>
        </w:trPr>
        <w:tc>
          <w:tcPr>
            <w:tcW w:w="1009" w:type="pct"/>
            <w:tcBorders>
              <w:top w:val="dashSmallGap" w:color="auto" w:sz="4" w:space="0"/>
              <w:left w:val="nil"/>
              <w:bottom w:val="dashSmallGap" w:color="auto" w:sz="4" w:space="0"/>
              <w:right w:val="dashSmallGap" w:color="auto" w:sz="4" w:space="0"/>
            </w:tcBorders>
            <w:shd w:val="clear" w:color="auto" w:fill="auto"/>
            <w:noWrap/>
            <w:vAlign w:val="center"/>
          </w:tcPr>
          <w:p w14:paraId="1C1FEF03">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平均值</w:t>
            </w:r>
          </w:p>
        </w:tc>
        <w:tc>
          <w:tcPr>
            <w:tcW w:w="2098" w:type="pct"/>
            <w:tcBorders>
              <w:top w:val="dashSmallGap" w:color="auto" w:sz="4" w:space="0"/>
              <w:left w:val="dashSmallGap" w:color="auto" w:sz="4" w:space="0"/>
              <w:bottom w:val="dashSmallGap" w:color="auto" w:sz="4" w:space="0"/>
              <w:right w:val="dashSmallGap" w:color="auto" w:sz="4" w:space="0"/>
            </w:tcBorders>
            <w:shd w:val="clear" w:color="auto" w:fill="auto"/>
            <w:noWrap/>
            <w:vAlign w:val="center"/>
          </w:tcPr>
          <w:p w14:paraId="2211DE53">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r>
              <w:rPr>
                <w:rFonts w:hint="default" w:ascii="Times New Roman" w:hAnsi="Times New Roman" w:eastAsia="宋体" w:cs="Times New Roman"/>
                <w:sz w:val="24"/>
                <w:szCs w:val="24"/>
                <w:lang w:val="en-US" w:eastAsia="zh-CN"/>
              </w:rPr>
              <w:t>366</w:t>
            </w:r>
            <w:r>
              <w:rPr>
                <w:rFonts w:hint="default" w:ascii="Times New Roman" w:hAnsi="Times New Roman" w:eastAsia="宋体" w:cs="Times New Roman"/>
                <w:sz w:val="24"/>
                <w:szCs w:val="24"/>
              </w:rPr>
              <w:t>%</w:t>
            </w:r>
          </w:p>
        </w:tc>
        <w:tc>
          <w:tcPr>
            <w:tcW w:w="1892" w:type="pct"/>
            <w:tcBorders>
              <w:top w:val="dashSmallGap" w:color="auto" w:sz="4" w:space="0"/>
              <w:left w:val="dashSmallGap" w:color="auto" w:sz="4" w:space="0"/>
              <w:bottom w:val="dashSmallGap" w:color="auto" w:sz="4" w:space="0"/>
              <w:right w:val="nil"/>
            </w:tcBorders>
            <w:shd w:val="clear" w:color="auto" w:fill="auto"/>
            <w:noWrap/>
            <w:vAlign w:val="center"/>
          </w:tcPr>
          <w:p w14:paraId="76B20433">
            <w:pPr>
              <w:keepNext w:val="0"/>
              <w:keepLines w:val="0"/>
              <w:pageBreakBefore w:val="0"/>
              <w:suppressLineNumbers w:val="0"/>
              <w:kinsoku/>
              <w:wordWrap/>
              <w:overflowPunct/>
              <w:topLinePunct w:val="0"/>
              <w:autoSpaceDE/>
              <w:autoSpaceDN/>
              <w:bidi w:val="0"/>
              <w:adjustRightInd/>
              <w:snapToGrid/>
              <w:spacing w:before="0" w:after="0" w:line="24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r>
              <w:rPr>
                <w:rFonts w:hint="default" w:ascii="Times New Roman" w:hAnsi="Times New Roman" w:eastAsia="宋体" w:cs="Times New Roman"/>
                <w:sz w:val="24"/>
                <w:szCs w:val="24"/>
                <w:lang w:val="en-US" w:eastAsia="zh-CN"/>
              </w:rPr>
              <w:t>150</w:t>
            </w:r>
            <w:r>
              <w:rPr>
                <w:rFonts w:hint="default" w:ascii="Times New Roman" w:hAnsi="Times New Roman" w:eastAsia="宋体" w:cs="Times New Roman"/>
                <w:sz w:val="24"/>
                <w:szCs w:val="24"/>
              </w:rPr>
              <w:t>%</w:t>
            </w:r>
          </w:p>
        </w:tc>
      </w:tr>
      <w:tr w14:paraId="22AD32CC">
        <w:tblPrEx>
          <w:tblCellMar>
            <w:top w:w="0" w:type="dxa"/>
            <w:left w:w="108" w:type="dxa"/>
            <w:bottom w:w="0" w:type="dxa"/>
            <w:right w:w="108" w:type="dxa"/>
          </w:tblCellMar>
        </w:tblPrEx>
        <w:trPr>
          <w:trHeight w:val="500" w:hRule="atLeast"/>
        </w:trPr>
        <w:tc>
          <w:tcPr>
            <w:tcW w:w="1009" w:type="pct"/>
            <w:tcBorders>
              <w:top w:val="dashSmallGap" w:color="auto" w:sz="4" w:space="0"/>
              <w:left w:val="nil"/>
              <w:bottom w:val="single" w:color="auto" w:sz="12" w:space="0"/>
              <w:right w:val="dashSmallGap" w:color="auto" w:sz="4" w:space="0"/>
            </w:tcBorders>
            <w:shd w:val="clear" w:color="auto" w:fill="auto"/>
            <w:noWrap/>
            <w:vAlign w:val="center"/>
          </w:tcPr>
          <w:p w14:paraId="23B8B289">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中位值</w:t>
            </w:r>
          </w:p>
        </w:tc>
        <w:tc>
          <w:tcPr>
            <w:tcW w:w="2098" w:type="pct"/>
            <w:tcBorders>
              <w:top w:val="dashSmallGap" w:color="auto" w:sz="4" w:space="0"/>
              <w:left w:val="dashSmallGap" w:color="auto" w:sz="4" w:space="0"/>
              <w:bottom w:val="single" w:color="auto" w:sz="12" w:space="0"/>
              <w:right w:val="dashSmallGap" w:color="auto" w:sz="4" w:space="0"/>
            </w:tcBorders>
            <w:shd w:val="clear" w:color="auto" w:fill="auto"/>
            <w:noWrap/>
            <w:vAlign w:val="center"/>
          </w:tcPr>
          <w:p w14:paraId="7C0F7B7F">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r>
              <w:rPr>
                <w:rFonts w:hint="default" w:ascii="Times New Roman" w:hAnsi="Times New Roman" w:eastAsia="宋体" w:cs="Times New Roman"/>
                <w:sz w:val="24"/>
                <w:szCs w:val="24"/>
                <w:lang w:val="en-US" w:eastAsia="zh-CN"/>
              </w:rPr>
              <w:t>278</w:t>
            </w:r>
            <w:r>
              <w:rPr>
                <w:rFonts w:hint="default" w:ascii="Times New Roman" w:hAnsi="Times New Roman" w:eastAsia="宋体" w:cs="Times New Roman"/>
                <w:sz w:val="24"/>
                <w:szCs w:val="24"/>
              </w:rPr>
              <w:t>%</w:t>
            </w:r>
          </w:p>
        </w:tc>
        <w:tc>
          <w:tcPr>
            <w:tcW w:w="1892" w:type="pct"/>
            <w:tcBorders>
              <w:top w:val="dashSmallGap" w:color="auto" w:sz="4" w:space="0"/>
              <w:left w:val="dashSmallGap" w:color="auto" w:sz="4" w:space="0"/>
              <w:bottom w:val="single" w:color="auto" w:sz="12" w:space="0"/>
              <w:right w:val="nil"/>
            </w:tcBorders>
            <w:shd w:val="clear" w:color="auto" w:fill="auto"/>
            <w:noWrap/>
            <w:vAlign w:val="center"/>
          </w:tcPr>
          <w:p w14:paraId="69B33E86">
            <w:pPr>
              <w:keepNext w:val="0"/>
              <w:keepLines w:val="0"/>
              <w:pageBreakBefore w:val="0"/>
              <w:suppressLineNumbers w:val="0"/>
              <w:kinsoku/>
              <w:wordWrap/>
              <w:overflowPunct/>
              <w:topLinePunct w:val="0"/>
              <w:autoSpaceDE/>
              <w:autoSpaceDN/>
              <w:bidi w:val="0"/>
              <w:adjustRightInd/>
              <w:snapToGrid/>
              <w:spacing w:before="0" w:after="0" w:line="240" w:lineRule="auto"/>
              <w:ind w:left="0" w:right="0"/>
              <w:jc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r>
              <w:rPr>
                <w:rFonts w:hint="default" w:ascii="Times New Roman" w:hAnsi="Times New Roman" w:eastAsia="宋体" w:cs="Times New Roman"/>
                <w:sz w:val="24"/>
                <w:szCs w:val="24"/>
                <w:lang w:val="en-US" w:eastAsia="zh-CN"/>
              </w:rPr>
              <w:t>016</w:t>
            </w:r>
            <w:r>
              <w:rPr>
                <w:rFonts w:hint="default" w:ascii="Times New Roman" w:hAnsi="Times New Roman" w:eastAsia="宋体" w:cs="Times New Roman"/>
                <w:sz w:val="24"/>
                <w:szCs w:val="24"/>
              </w:rPr>
              <w:t>%</w:t>
            </w:r>
          </w:p>
        </w:tc>
      </w:tr>
    </w:tbl>
    <w:p w14:paraId="2560AA87">
      <w:pPr>
        <w:pStyle w:val="107"/>
        <w:numPr>
          <w:ilvl w:val="2"/>
          <w:numId w:val="0"/>
        </w:numPr>
        <w:rPr>
          <w:rFonts w:hint="eastAsia"/>
          <w:color w:val="auto"/>
        </w:rPr>
      </w:pPr>
      <w:bookmarkStart w:id="75" w:name="_Toc178096613"/>
      <w:bookmarkEnd w:id="75"/>
      <w:r>
        <w:rPr>
          <w:rFonts w:hint="eastAsia"/>
          <w:color w:val="auto"/>
        </w:rPr>
        <w:t>A.2.2</w:t>
      </w:r>
      <w:r>
        <w:rPr>
          <w:rFonts w:hint="eastAsia"/>
          <w:color w:val="auto"/>
        </w:rPr>
        <w:tab/>
      </w:r>
      <w:r>
        <w:rPr>
          <w:rFonts w:hint="eastAsia"/>
          <w:color w:val="auto"/>
        </w:rPr>
        <w:t>污泥好氧发酵过程温室气体排放因子的确定</w:t>
      </w:r>
    </w:p>
    <w:p w14:paraId="1EF17057">
      <w:pPr>
        <w:bidi w:val="0"/>
        <w:rPr>
          <w:rFonts w:hint="default"/>
        </w:rPr>
      </w:pPr>
      <w:r>
        <w:rPr>
          <w:rFonts w:hint="default"/>
        </w:rPr>
        <w:t>污泥好氧发酵工艺</w:t>
      </w:r>
      <w:r>
        <w:rPr>
          <w:rFonts w:hint="eastAsia"/>
          <w:lang w:val="en-US" w:eastAsia="zh-CN"/>
        </w:rPr>
        <w:t>甲烷及氧化亚氮</w:t>
      </w:r>
      <w:r>
        <w:rPr>
          <w:rFonts w:hint="default"/>
        </w:rPr>
        <w:t>排放因子根据北方某</w:t>
      </w:r>
      <w:r>
        <w:rPr>
          <w:rFonts w:hint="eastAsia"/>
          <w:lang w:val="en-US" w:eastAsia="zh-CN"/>
        </w:rPr>
        <w:t>好氧发酵</w:t>
      </w:r>
      <w:r>
        <w:rPr>
          <w:rFonts w:hint="default"/>
        </w:rPr>
        <w:t>项目</w:t>
      </w:r>
      <w:r>
        <w:rPr>
          <w:rFonts w:hint="eastAsia"/>
          <w:lang w:val="en-US" w:eastAsia="zh-CN"/>
        </w:rPr>
        <w:t>温室气体</w:t>
      </w:r>
      <w:r>
        <w:rPr>
          <w:rFonts w:hint="default"/>
        </w:rPr>
        <w:t>排放量监测数据获得，测试期内分别于春季、夏季、秋季、冬季进行取样监测，每次2个堆体，本</w:t>
      </w:r>
      <w:r>
        <w:rPr>
          <w:rFonts w:hint="eastAsia"/>
          <w:lang w:val="en-US" w:eastAsia="zh-CN"/>
        </w:rPr>
        <w:t>标准</w:t>
      </w:r>
      <w:r>
        <w:rPr>
          <w:rFonts w:hint="default"/>
        </w:rPr>
        <w:t>推荐的缺省值根据实际监测数据，采取平均值法计算获得，各阶段甲烷排放因子如表</w:t>
      </w:r>
      <w:r>
        <w:rPr>
          <w:rFonts w:hint="eastAsia"/>
          <w:lang w:val="en-US" w:eastAsia="zh-CN"/>
        </w:rPr>
        <w:t>A.5</w:t>
      </w:r>
      <w:r>
        <w:rPr>
          <w:rFonts w:hint="default"/>
        </w:rPr>
        <w:t>所示。</w:t>
      </w:r>
    </w:p>
    <w:p w14:paraId="571D56DA">
      <w:pPr>
        <w:keepNext w:val="0"/>
        <w:keepLines w:val="0"/>
        <w:pageBreakBefore w:val="0"/>
        <w:widowControl w:val="0"/>
        <w:kinsoku/>
        <w:wordWrap/>
        <w:overflowPunct/>
        <w:topLinePunct w:val="0"/>
        <w:autoSpaceDE/>
        <w:autoSpaceDN/>
        <w:bidi w:val="0"/>
        <w:adjustRightInd/>
        <w:snapToGrid/>
        <w:spacing w:line="240" w:lineRule="auto"/>
        <w:jc w:val="center"/>
        <w:textAlignment w:val="auto"/>
        <w:rPr>
          <w:rFonts w:hint="default"/>
        </w:rPr>
      </w:pPr>
      <w:r>
        <w:rPr>
          <w:rFonts w:hint="default"/>
        </w:rPr>
        <w:t>表</w:t>
      </w:r>
      <w:r>
        <w:rPr>
          <w:rFonts w:hint="eastAsia"/>
          <w:lang w:val="en-US" w:eastAsia="zh-CN"/>
        </w:rPr>
        <w:t>A.5</w:t>
      </w:r>
      <w:r>
        <w:rPr>
          <w:rFonts w:hint="default"/>
        </w:rPr>
        <w:t xml:space="preserve"> 污泥</w:t>
      </w:r>
      <w:r>
        <w:rPr>
          <w:rFonts w:hint="eastAsia"/>
          <w:lang w:val="en-US" w:eastAsia="zh-CN"/>
        </w:rPr>
        <w:t>好氧发酵设施</w:t>
      </w:r>
      <w:r>
        <w:rPr>
          <w:rFonts w:hint="default"/>
        </w:rPr>
        <w:t>温室气体排放因子</w:t>
      </w:r>
    </w:p>
    <w:tbl>
      <w:tblPr>
        <w:tblStyle w:val="88"/>
        <w:tblW w:w="4999" w:type="pct"/>
        <w:tblInd w:w="0" w:type="dxa"/>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2049"/>
        <w:gridCol w:w="3195"/>
        <w:gridCol w:w="3282"/>
      </w:tblGrid>
      <w:tr w14:paraId="55A10C6F">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1202" w:type="pct"/>
            <w:vMerge w:val="restart"/>
            <w:tcBorders>
              <w:right w:val="dashSmallGap" w:color="auto" w:sz="4" w:space="0"/>
              <w:tl2br w:val="nil"/>
              <w:tr2bl w:val="nil"/>
            </w:tcBorders>
            <w:shd w:val="clear" w:color="auto" w:fill="auto"/>
            <w:vAlign w:val="center"/>
          </w:tcPr>
          <w:p w14:paraId="1B99D851">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jc w:val="center"/>
              <w:textAlignment w:val="center"/>
              <w:rPr>
                <w:rFonts w:hint="default" w:ascii="Times New Roman" w:hAnsi="Times New Roman" w:eastAsia="宋体" w:cs="Times New Roman"/>
                <w:b/>
                <w:bCs/>
                <w:color w:val="000000"/>
                <w:kern w:val="0"/>
                <w:sz w:val="24"/>
                <w:szCs w:val="24"/>
                <w:lang w:bidi="ar"/>
              </w:rPr>
            </w:pPr>
            <w:r>
              <w:rPr>
                <w:rFonts w:hint="default" w:ascii="Times New Roman" w:hAnsi="Times New Roman" w:eastAsia="宋体" w:cs="Times New Roman"/>
                <w:b/>
                <w:bCs/>
                <w:color w:val="000000"/>
                <w:kern w:val="0"/>
                <w:sz w:val="24"/>
                <w:szCs w:val="24"/>
                <w:lang w:bidi="ar"/>
              </w:rPr>
              <w:t>监测样品</w:t>
            </w:r>
          </w:p>
        </w:tc>
        <w:tc>
          <w:tcPr>
            <w:tcW w:w="1873" w:type="pct"/>
            <w:tcBorders>
              <w:left w:val="dashSmallGap" w:color="auto" w:sz="4" w:space="0"/>
              <w:right w:val="dashSmallGap" w:color="auto" w:sz="4" w:space="0"/>
              <w:tl2br w:val="nil"/>
              <w:tr2bl w:val="nil"/>
            </w:tcBorders>
            <w:shd w:val="clear" w:color="auto" w:fill="auto"/>
            <w:vAlign w:val="center"/>
          </w:tcPr>
          <w:p w14:paraId="780C5D36">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jc w:val="center"/>
              <w:textAlignment w:val="center"/>
              <w:rPr>
                <w:rFonts w:hint="default" w:ascii="Times New Roman" w:hAnsi="Times New Roman" w:eastAsia="宋体" w:cs="Times New Roman"/>
                <w:b/>
                <w:bCs/>
                <w:color w:val="000000"/>
                <w:kern w:val="0"/>
                <w:sz w:val="24"/>
                <w:szCs w:val="24"/>
                <w:lang w:bidi="ar"/>
              </w:rPr>
            </w:pPr>
            <w:r>
              <w:rPr>
                <w:rStyle w:val="129"/>
                <w:rFonts w:hint="default" w:ascii="Times New Roman" w:hAnsi="Times New Roman" w:eastAsia="宋体" w:cs="Times New Roman"/>
                <w:b/>
                <w:bCs/>
                <w:sz w:val="24"/>
                <w:szCs w:val="24"/>
                <w:lang w:bidi="ar"/>
              </w:rPr>
              <w:t>甲烷排放因子</w:t>
            </w:r>
          </w:p>
        </w:tc>
        <w:tc>
          <w:tcPr>
            <w:tcW w:w="1924" w:type="pct"/>
            <w:tcBorders>
              <w:left w:val="dashSmallGap" w:color="auto" w:sz="4" w:space="0"/>
              <w:tl2br w:val="nil"/>
              <w:tr2bl w:val="nil"/>
            </w:tcBorders>
            <w:shd w:val="clear" w:color="auto" w:fill="auto"/>
            <w:noWrap/>
            <w:vAlign w:val="center"/>
          </w:tcPr>
          <w:p w14:paraId="0D60CCE4">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jc w:val="center"/>
              <w:textAlignment w:val="center"/>
              <w:rPr>
                <w:rFonts w:hint="default" w:ascii="Times New Roman" w:hAnsi="Times New Roman" w:eastAsia="宋体" w:cs="Times New Roman"/>
                <w:b/>
                <w:bCs/>
                <w:color w:val="000000"/>
                <w:kern w:val="0"/>
                <w:sz w:val="24"/>
                <w:szCs w:val="24"/>
                <w:lang w:bidi="ar"/>
              </w:rPr>
            </w:pPr>
            <w:r>
              <w:rPr>
                <w:rStyle w:val="129"/>
                <w:rFonts w:hint="default" w:ascii="Times New Roman" w:hAnsi="Times New Roman" w:eastAsia="宋体" w:cs="Times New Roman"/>
                <w:b/>
                <w:bCs/>
                <w:sz w:val="24"/>
                <w:szCs w:val="24"/>
                <w:lang w:bidi="ar"/>
              </w:rPr>
              <w:t>氧化亚氮排放因子</w:t>
            </w:r>
          </w:p>
        </w:tc>
      </w:tr>
      <w:tr w14:paraId="5241A1D3">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1202" w:type="pct"/>
            <w:vMerge w:val="continue"/>
            <w:tcBorders>
              <w:bottom w:val="single" w:color="auto" w:sz="4" w:space="0"/>
              <w:right w:val="dashSmallGap" w:color="auto" w:sz="4" w:space="0"/>
              <w:tl2br w:val="nil"/>
              <w:tr2bl w:val="nil"/>
            </w:tcBorders>
            <w:shd w:val="clear" w:color="auto" w:fill="auto"/>
            <w:vAlign w:val="center"/>
          </w:tcPr>
          <w:p w14:paraId="1E66F4B7">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jc w:val="center"/>
              <w:textAlignment w:val="center"/>
              <w:rPr>
                <w:rFonts w:hint="default" w:ascii="Times New Roman" w:hAnsi="Times New Roman" w:eastAsia="宋体" w:cs="Times New Roman"/>
                <w:b/>
                <w:bCs/>
                <w:color w:val="000000"/>
                <w:kern w:val="0"/>
                <w:sz w:val="24"/>
                <w:szCs w:val="24"/>
                <w:lang w:bidi="ar"/>
              </w:rPr>
            </w:pPr>
          </w:p>
        </w:tc>
        <w:tc>
          <w:tcPr>
            <w:tcW w:w="1873" w:type="pct"/>
            <w:tcBorders>
              <w:left w:val="dashSmallGap" w:color="auto" w:sz="4" w:space="0"/>
              <w:bottom w:val="single" w:color="auto" w:sz="4" w:space="0"/>
              <w:right w:val="dashSmallGap" w:color="auto" w:sz="4" w:space="0"/>
              <w:tl2br w:val="nil"/>
              <w:tr2bl w:val="nil"/>
            </w:tcBorders>
            <w:shd w:val="clear" w:color="auto" w:fill="auto"/>
            <w:vAlign w:val="center"/>
          </w:tcPr>
          <w:p w14:paraId="6EC6C3A7">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jc w:val="center"/>
              <w:textAlignment w:val="center"/>
              <w:rPr>
                <w:rFonts w:hint="default" w:ascii="Times New Roman" w:hAnsi="Times New Roman" w:eastAsia="宋体" w:cs="Times New Roman"/>
                <w:b/>
                <w:bCs/>
                <w:color w:val="000000"/>
                <w:kern w:val="0"/>
                <w:sz w:val="24"/>
                <w:szCs w:val="24"/>
                <w:lang w:bidi="ar"/>
              </w:rPr>
            </w:pPr>
            <w:r>
              <w:rPr>
                <w:rStyle w:val="129"/>
                <w:rFonts w:hint="default" w:ascii="Times New Roman" w:hAnsi="Times New Roman" w:eastAsia="宋体" w:cs="Times New Roman"/>
                <w:b/>
                <w:bCs/>
                <w:sz w:val="24"/>
                <w:szCs w:val="24"/>
                <w:lang w:bidi="ar"/>
              </w:rPr>
              <w:t>Kg</w:t>
            </w:r>
            <w:r>
              <w:rPr>
                <w:rStyle w:val="129"/>
                <w:rFonts w:hint="default" w:ascii="Times New Roman" w:hAnsi="Times New Roman" w:eastAsia="宋体" w:cs="Times New Roman"/>
                <w:b/>
                <w:bCs/>
                <w:sz w:val="24"/>
                <w:szCs w:val="24"/>
                <w:lang w:val="en-US" w:eastAsia="zh-CN" w:bidi="ar"/>
              </w:rPr>
              <w:t xml:space="preserve"> </w:t>
            </w:r>
            <w:r>
              <w:rPr>
                <w:rStyle w:val="129"/>
                <w:rFonts w:hint="default" w:ascii="Times New Roman" w:hAnsi="Times New Roman" w:eastAsia="宋体" w:cs="Times New Roman"/>
                <w:b/>
                <w:bCs/>
                <w:sz w:val="24"/>
                <w:szCs w:val="24"/>
                <w:lang w:bidi="ar"/>
              </w:rPr>
              <w:t>CH</w:t>
            </w:r>
            <w:r>
              <w:rPr>
                <w:rStyle w:val="129"/>
                <w:rFonts w:hint="default" w:ascii="Times New Roman" w:hAnsi="Times New Roman" w:eastAsia="宋体" w:cs="Times New Roman"/>
                <w:b/>
                <w:bCs/>
                <w:sz w:val="24"/>
                <w:szCs w:val="24"/>
                <w:vertAlign w:val="subscript"/>
                <w:lang w:bidi="ar"/>
              </w:rPr>
              <w:t>4</w:t>
            </w:r>
            <w:r>
              <w:rPr>
                <w:rStyle w:val="129"/>
                <w:rFonts w:hint="default" w:ascii="Times New Roman" w:hAnsi="Times New Roman" w:eastAsia="宋体" w:cs="Times New Roman"/>
                <w:b/>
                <w:bCs/>
                <w:sz w:val="24"/>
                <w:szCs w:val="24"/>
                <w:lang w:bidi="ar"/>
              </w:rPr>
              <w:t>/t</w:t>
            </w:r>
            <w:r>
              <w:rPr>
                <w:rStyle w:val="129"/>
                <w:rFonts w:hint="default" w:ascii="Times New Roman" w:hAnsi="Times New Roman" w:eastAsia="宋体" w:cs="Times New Roman"/>
                <w:b/>
                <w:bCs/>
                <w:sz w:val="24"/>
                <w:szCs w:val="24"/>
                <w:lang w:val="en-US" w:eastAsia="zh-CN" w:bidi="ar"/>
              </w:rPr>
              <w:t xml:space="preserve"> </w:t>
            </w:r>
            <w:r>
              <w:rPr>
                <w:rStyle w:val="129"/>
                <w:rFonts w:hint="default" w:ascii="Times New Roman" w:hAnsi="Times New Roman" w:eastAsia="宋体" w:cs="Times New Roman"/>
                <w:b/>
                <w:bCs/>
                <w:sz w:val="24"/>
                <w:szCs w:val="24"/>
                <w:lang w:bidi="ar"/>
              </w:rPr>
              <w:t>DS</w:t>
            </w:r>
          </w:p>
        </w:tc>
        <w:tc>
          <w:tcPr>
            <w:tcW w:w="1924" w:type="pct"/>
            <w:tcBorders>
              <w:left w:val="dashSmallGap" w:color="auto" w:sz="4" w:space="0"/>
              <w:bottom w:val="single" w:color="auto" w:sz="4" w:space="0"/>
              <w:tl2br w:val="nil"/>
              <w:tr2bl w:val="nil"/>
            </w:tcBorders>
            <w:shd w:val="clear" w:color="auto" w:fill="auto"/>
            <w:noWrap/>
            <w:vAlign w:val="center"/>
          </w:tcPr>
          <w:p w14:paraId="5A4CE031">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jc w:val="center"/>
              <w:textAlignment w:val="center"/>
              <w:rPr>
                <w:rFonts w:hint="default" w:ascii="Times New Roman" w:hAnsi="Times New Roman" w:eastAsia="宋体" w:cs="Times New Roman"/>
                <w:b/>
                <w:bCs/>
                <w:color w:val="000000"/>
                <w:kern w:val="0"/>
                <w:sz w:val="24"/>
                <w:szCs w:val="24"/>
                <w:lang w:bidi="ar"/>
              </w:rPr>
            </w:pPr>
            <w:r>
              <w:rPr>
                <w:rStyle w:val="129"/>
                <w:rFonts w:hint="default" w:ascii="Times New Roman" w:hAnsi="Times New Roman" w:eastAsia="宋体" w:cs="Times New Roman"/>
                <w:b/>
                <w:bCs/>
                <w:sz w:val="24"/>
                <w:szCs w:val="24"/>
                <w:lang w:bidi="ar"/>
              </w:rPr>
              <w:t>Kg</w:t>
            </w:r>
            <w:r>
              <w:rPr>
                <w:rStyle w:val="129"/>
                <w:rFonts w:hint="default" w:ascii="Times New Roman" w:hAnsi="Times New Roman" w:eastAsia="宋体" w:cs="Times New Roman"/>
                <w:b/>
                <w:bCs/>
                <w:sz w:val="24"/>
                <w:szCs w:val="24"/>
                <w:lang w:val="en-US" w:eastAsia="zh-CN" w:bidi="ar"/>
              </w:rPr>
              <w:t xml:space="preserve"> </w:t>
            </w:r>
            <w:r>
              <w:rPr>
                <w:rStyle w:val="129"/>
                <w:rFonts w:hint="default" w:ascii="Times New Roman" w:hAnsi="Times New Roman" w:eastAsia="宋体" w:cs="Times New Roman"/>
                <w:b/>
                <w:bCs/>
                <w:sz w:val="24"/>
                <w:szCs w:val="24"/>
                <w:lang w:bidi="ar"/>
              </w:rPr>
              <w:t>N</w:t>
            </w:r>
            <w:r>
              <w:rPr>
                <w:rStyle w:val="129"/>
                <w:rFonts w:hint="default" w:ascii="Times New Roman" w:hAnsi="Times New Roman" w:eastAsia="宋体" w:cs="Times New Roman"/>
                <w:b/>
                <w:bCs/>
                <w:sz w:val="24"/>
                <w:szCs w:val="24"/>
                <w:vertAlign w:val="subscript"/>
                <w:lang w:bidi="ar"/>
              </w:rPr>
              <w:t>2</w:t>
            </w:r>
            <w:r>
              <w:rPr>
                <w:rStyle w:val="129"/>
                <w:rFonts w:hint="default" w:ascii="Times New Roman" w:hAnsi="Times New Roman" w:eastAsia="宋体" w:cs="Times New Roman"/>
                <w:b/>
                <w:bCs/>
                <w:sz w:val="24"/>
                <w:szCs w:val="24"/>
                <w:lang w:bidi="ar"/>
              </w:rPr>
              <w:t>O/t</w:t>
            </w:r>
            <w:r>
              <w:rPr>
                <w:rStyle w:val="129"/>
                <w:rFonts w:hint="default" w:ascii="Times New Roman" w:hAnsi="Times New Roman" w:eastAsia="宋体" w:cs="Times New Roman"/>
                <w:b/>
                <w:bCs/>
                <w:sz w:val="24"/>
                <w:szCs w:val="24"/>
                <w:lang w:val="en-US" w:eastAsia="zh-CN" w:bidi="ar"/>
              </w:rPr>
              <w:t xml:space="preserve"> </w:t>
            </w:r>
            <w:r>
              <w:rPr>
                <w:rStyle w:val="129"/>
                <w:rFonts w:hint="default" w:ascii="Times New Roman" w:hAnsi="Times New Roman" w:eastAsia="宋体" w:cs="Times New Roman"/>
                <w:b/>
                <w:bCs/>
                <w:sz w:val="24"/>
                <w:szCs w:val="24"/>
                <w:lang w:bidi="ar"/>
              </w:rPr>
              <w:t>DS</w:t>
            </w:r>
          </w:p>
        </w:tc>
      </w:tr>
      <w:tr w14:paraId="27AAE94B">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202" w:type="pct"/>
            <w:tcBorders>
              <w:top w:val="single" w:color="auto" w:sz="4" w:space="0"/>
              <w:right w:val="dashSmallGap" w:color="auto" w:sz="4" w:space="0"/>
              <w:tl2br w:val="nil"/>
              <w:tr2bl w:val="nil"/>
            </w:tcBorders>
            <w:shd w:val="clear" w:color="auto" w:fill="auto"/>
            <w:vAlign w:val="center"/>
          </w:tcPr>
          <w:p w14:paraId="3AE9F651">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冬季</w:t>
            </w:r>
          </w:p>
        </w:tc>
        <w:tc>
          <w:tcPr>
            <w:tcW w:w="1873" w:type="pct"/>
            <w:tcBorders>
              <w:top w:val="single" w:color="auto" w:sz="4" w:space="0"/>
              <w:left w:val="dashSmallGap" w:color="auto" w:sz="4" w:space="0"/>
              <w:right w:val="dashSmallGap" w:color="auto" w:sz="4" w:space="0"/>
              <w:tl2br w:val="nil"/>
              <w:tr2bl w:val="nil"/>
            </w:tcBorders>
            <w:shd w:val="clear" w:color="auto" w:fill="auto"/>
            <w:vAlign w:val="center"/>
          </w:tcPr>
          <w:p w14:paraId="3C9B5306">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jc w:val="center"/>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lang w:val="en-US" w:eastAsia="zh-CN"/>
              </w:rPr>
              <w:t>0.089</w:t>
            </w:r>
          </w:p>
        </w:tc>
        <w:tc>
          <w:tcPr>
            <w:tcW w:w="1924" w:type="pct"/>
            <w:tcBorders>
              <w:top w:val="single" w:color="auto" w:sz="4" w:space="0"/>
              <w:left w:val="dashSmallGap" w:color="auto" w:sz="4" w:space="0"/>
              <w:tl2br w:val="nil"/>
              <w:tr2bl w:val="nil"/>
            </w:tcBorders>
            <w:shd w:val="clear" w:color="auto" w:fill="auto"/>
            <w:noWrap/>
            <w:vAlign w:val="center"/>
          </w:tcPr>
          <w:p w14:paraId="2DCCDF9A">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jc w:val="center"/>
              <w:textAlignment w:val="center"/>
              <w:rPr>
                <w:rFonts w:hint="default" w:ascii="Times New Roman" w:hAnsi="Times New Roman" w:eastAsia="宋体" w:cs="Times New Roman"/>
                <w:sz w:val="24"/>
                <w:szCs w:val="24"/>
                <w:lang w:val="en-US" w:eastAsia="zh-CN"/>
              </w:rPr>
            </w:pPr>
            <w:r>
              <w:rPr>
                <w:rFonts w:hint="default" w:ascii="Times New Roman" w:hAnsi="Times New Roman" w:eastAsia="宋体" w:cs="Times New Roman"/>
                <w:sz w:val="24"/>
                <w:szCs w:val="24"/>
              </w:rPr>
              <w:t>0.4</w:t>
            </w:r>
            <w:r>
              <w:rPr>
                <w:rFonts w:hint="default" w:ascii="Times New Roman" w:hAnsi="Times New Roman" w:eastAsia="宋体" w:cs="Times New Roman"/>
                <w:sz w:val="24"/>
                <w:szCs w:val="24"/>
                <w:lang w:val="en-US" w:eastAsia="zh-CN"/>
              </w:rPr>
              <w:t>64</w:t>
            </w:r>
          </w:p>
        </w:tc>
      </w:tr>
      <w:tr w14:paraId="088FA0E6">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202" w:type="pct"/>
            <w:tcBorders>
              <w:right w:val="dashSmallGap" w:color="auto" w:sz="4" w:space="0"/>
              <w:tl2br w:val="nil"/>
              <w:tr2bl w:val="nil"/>
            </w:tcBorders>
            <w:shd w:val="clear" w:color="auto" w:fill="auto"/>
            <w:vAlign w:val="center"/>
          </w:tcPr>
          <w:p w14:paraId="62C4AD9F">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春季</w:t>
            </w:r>
          </w:p>
        </w:tc>
        <w:tc>
          <w:tcPr>
            <w:tcW w:w="1873" w:type="pct"/>
            <w:tcBorders>
              <w:left w:val="dashSmallGap" w:color="auto" w:sz="4" w:space="0"/>
              <w:right w:val="dashSmallGap" w:color="auto" w:sz="4" w:space="0"/>
              <w:tl2br w:val="nil"/>
              <w:tr2bl w:val="nil"/>
            </w:tcBorders>
            <w:shd w:val="clear" w:color="auto" w:fill="auto"/>
            <w:vAlign w:val="center"/>
          </w:tcPr>
          <w:p w14:paraId="2E45A2A0">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0.324</w:t>
            </w:r>
          </w:p>
        </w:tc>
        <w:tc>
          <w:tcPr>
            <w:tcW w:w="1924" w:type="pct"/>
            <w:tcBorders>
              <w:left w:val="dashSmallGap" w:color="auto" w:sz="4" w:space="0"/>
              <w:tl2br w:val="nil"/>
              <w:tr2bl w:val="nil"/>
            </w:tcBorders>
            <w:shd w:val="clear" w:color="auto" w:fill="auto"/>
            <w:noWrap/>
            <w:vAlign w:val="center"/>
          </w:tcPr>
          <w:p w14:paraId="407CA340">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0.4</w:t>
            </w:r>
            <w:r>
              <w:rPr>
                <w:rFonts w:hint="default" w:ascii="Times New Roman" w:hAnsi="Times New Roman" w:eastAsia="宋体" w:cs="Times New Roman"/>
                <w:sz w:val="24"/>
                <w:szCs w:val="24"/>
                <w:lang w:val="en-US" w:eastAsia="zh-CN"/>
              </w:rPr>
              <w:t>6</w:t>
            </w:r>
            <w:r>
              <w:rPr>
                <w:rFonts w:hint="default" w:ascii="Times New Roman" w:hAnsi="Times New Roman" w:eastAsia="宋体" w:cs="Times New Roman"/>
                <w:sz w:val="24"/>
                <w:szCs w:val="24"/>
              </w:rPr>
              <w:t>0</w:t>
            </w:r>
          </w:p>
        </w:tc>
      </w:tr>
      <w:tr w14:paraId="244D070E">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202" w:type="pct"/>
            <w:tcBorders>
              <w:right w:val="dashSmallGap" w:color="auto" w:sz="4" w:space="0"/>
              <w:tl2br w:val="nil"/>
              <w:tr2bl w:val="nil"/>
            </w:tcBorders>
            <w:shd w:val="clear" w:color="auto" w:fill="auto"/>
            <w:vAlign w:val="center"/>
          </w:tcPr>
          <w:p w14:paraId="091C5872">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夏季</w:t>
            </w:r>
          </w:p>
        </w:tc>
        <w:tc>
          <w:tcPr>
            <w:tcW w:w="1873" w:type="pct"/>
            <w:tcBorders>
              <w:left w:val="dashSmallGap" w:color="auto" w:sz="4" w:space="0"/>
              <w:right w:val="dashSmallGap" w:color="auto" w:sz="4" w:space="0"/>
              <w:tl2br w:val="nil"/>
              <w:tr2bl w:val="nil"/>
            </w:tcBorders>
            <w:shd w:val="clear" w:color="auto" w:fill="auto"/>
            <w:vAlign w:val="center"/>
          </w:tcPr>
          <w:p w14:paraId="1F79CC6E">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0.972</w:t>
            </w:r>
          </w:p>
        </w:tc>
        <w:tc>
          <w:tcPr>
            <w:tcW w:w="1924" w:type="pct"/>
            <w:tcBorders>
              <w:left w:val="dashSmallGap" w:color="auto" w:sz="4" w:space="0"/>
              <w:tl2br w:val="nil"/>
              <w:tr2bl w:val="nil"/>
            </w:tcBorders>
            <w:shd w:val="clear" w:color="auto" w:fill="auto"/>
            <w:vAlign w:val="center"/>
          </w:tcPr>
          <w:p w14:paraId="1EA46896">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w:t>
            </w:r>
            <w:r>
              <w:rPr>
                <w:rFonts w:hint="default" w:ascii="Times New Roman" w:hAnsi="Times New Roman" w:eastAsia="宋体" w:cs="Times New Roman"/>
                <w:sz w:val="24"/>
                <w:szCs w:val="24"/>
                <w:lang w:val="en-US" w:eastAsia="zh-CN"/>
              </w:rPr>
              <w:t>157</w:t>
            </w:r>
          </w:p>
        </w:tc>
      </w:tr>
      <w:tr w14:paraId="1C5FB64D">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202" w:type="pct"/>
            <w:tcBorders>
              <w:right w:val="dashSmallGap" w:color="auto" w:sz="4" w:space="0"/>
              <w:tl2br w:val="nil"/>
              <w:tr2bl w:val="nil"/>
            </w:tcBorders>
            <w:shd w:val="clear" w:color="auto" w:fill="auto"/>
            <w:vAlign w:val="center"/>
          </w:tcPr>
          <w:p w14:paraId="3A145F48">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秋季</w:t>
            </w:r>
          </w:p>
        </w:tc>
        <w:tc>
          <w:tcPr>
            <w:tcW w:w="1873" w:type="pct"/>
            <w:tcBorders>
              <w:left w:val="dashSmallGap" w:color="auto" w:sz="4" w:space="0"/>
              <w:right w:val="dashSmallGap" w:color="auto" w:sz="4" w:space="0"/>
              <w:tl2br w:val="nil"/>
              <w:tr2bl w:val="nil"/>
            </w:tcBorders>
            <w:shd w:val="clear" w:color="auto" w:fill="auto"/>
            <w:vAlign w:val="center"/>
          </w:tcPr>
          <w:p w14:paraId="3A9813AA">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0.850</w:t>
            </w:r>
          </w:p>
        </w:tc>
        <w:tc>
          <w:tcPr>
            <w:tcW w:w="1924" w:type="pct"/>
            <w:tcBorders>
              <w:left w:val="dashSmallGap" w:color="auto" w:sz="4" w:space="0"/>
              <w:tl2br w:val="nil"/>
              <w:tr2bl w:val="nil"/>
            </w:tcBorders>
            <w:shd w:val="clear" w:color="auto" w:fill="auto"/>
            <w:vAlign w:val="center"/>
          </w:tcPr>
          <w:p w14:paraId="773737AC">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jc w:val="center"/>
              <w:textAlignment w:val="center"/>
              <w:rPr>
                <w:rFonts w:hint="default" w:ascii="Times New Roman" w:hAnsi="Times New Roman" w:eastAsia="宋体" w:cs="Times New Roman"/>
                <w:sz w:val="24"/>
                <w:szCs w:val="24"/>
              </w:rPr>
            </w:pPr>
            <w:r>
              <w:rPr>
                <w:rFonts w:hint="default" w:ascii="Times New Roman" w:hAnsi="Times New Roman" w:eastAsia="宋体" w:cs="Times New Roman"/>
                <w:sz w:val="24"/>
                <w:szCs w:val="24"/>
              </w:rPr>
              <w:t>1.</w:t>
            </w:r>
            <w:r>
              <w:rPr>
                <w:rFonts w:hint="default" w:ascii="Times New Roman" w:hAnsi="Times New Roman" w:eastAsia="宋体" w:cs="Times New Roman"/>
                <w:sz w:val="24"/>
                <w:szCs w:val="24"/>
                <w:lang w:val="en-US" w:eastAsia="zh-CN"/>
              </w:rPr>
              <w:t>070</w:t>
            </w:r>
          </w:p>
        </w:tc>
      </w:tr>
      <w:tr w14:paraId="6479664B">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trPr>
        <w:tc>
          <w:tcPr>
            <w:tcW w:w="1202" w:type="pct"/>
            <w:tcBorders>
              <w:right w:val="dashSmallGap" w:color="auto" w:sz="4" w:space="0"/>
              <w:tl2br w:val="nil"/>
              <w:tr2bl w:val="nil"/>
            </w:tcBorders>
            <w:shd w:val="clear" w:color="auto" w:fill="auto"/>
            <w:vAlign w:val="center"/>
          </w:tcPr>
          <w:p w14:paraId="48B1218B">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kern w:val="0"/>
                <w:sz w:val="24"/>
                <w:szCs w:val="24"/>
                <w:lang w:val="en-US" w:eastAsia="zh-CN" w:bidi="ar"/>
              </w:rPr>
              <w:t>平均值</w:t>
            </w:r>
          </w:p>
        </w:tc>
        <w:tc>
          <w:tcPr>
            <w:tcW w:w="1873" w:type="pct"/>
            <w:tcBorders>
              <w:left w:val="dashSmallGap" w:color="auto" w:sz="4" w:space="0"/>
              <w:right w:val="dashSmallGap" w:color="auto" w:sz="4" w:space="0"/>
              <w:tl2br w:val="nil"/>
              <w:tr2bl w:val="nil"/>
            </w:tcBorders>
            <w:shd w:val="clear" w:color="auto" w:fill="auto"/>
            <w:vAlign w:val="center"/>
          </w:tcPr>
          <w:p w14:paraId="4E60B9CC">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sz w:val="24"/>
                <w:szCs w:val="24"/>
                <w:lang w:val="en-US" w:eastAsia="zh-CN"/>
              </w:rPr>
              <w:t>0.480</w:t>
            </w:r>
          </w:p>
        </w:tc>
        <w:tc>
          <w:tcPr>
            <w:tcW w:w="1924" w:type="pct"/>
            <w:tcBorders>
              <w:left w:val="dashSmallGap" w:color="auto" w:sz="4" w:space="0"/>
              <w:tl2br w:val="nil"/>
              <w:tr2bl w:val="nil"/>
            </w:tcBorders>
            <w:shd w:val="clear" w:color="auto" w:fill="auto"/>
            <w:vAlign w:val="center"/>
          </w:tcPr>
          <w:p w14:paraId="6FC49AF4">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jc w:val="center"/>
              <w:textAlignment w:val="center"/>
              <w:rPr>
                <w:rFonts w:hint="default" w:ascii="Times New Roman" w:hAnsi="Times New Roman" w:eastAsia="宋体" w:cs="Times New Roman"/>
                <w:color w:val="000000"/>
                <w:kern w:val="2"/>
                <w:sz w:val="24"/>
                <w:szCs w:val="24"/>
                <w:lang w:val="en-US" w:eastAsia="zh-CN" w:bidi="ar-SA"/>
              </w:rPr>
            </w:pPr>
            <w:r>
              <w:rPr>
                <w:rFonts w:hint="default" w:ascii="Times New Roman" w:hAnsi="Times New Roman" w:eastAsia="宋体" w:cs="Times New Roman"/>
                <w:color w:val="000000"/>
                <w:sz w:val="24"/>
                <w:szCs w:val="24"/>
                <w:lang w:val="en-US" w:eastAsia="zh-CN"/>
              </w:rPr>
              <w:t>0.538</w:t>
            </w:r>
          </w:p>
        </w:tc>
      </w:tr>
    </w:tbl>
    <w:p w14:paraId="2EBA04CB">
      <w:pPr>
        <w:keepNext w:val="0"/>
        <w:keepLines w:val="0"/>
        <w:pageBreakBefore w:val="0"/>
        <w:widowControl w:val="0"/>
        <w:kinsoku/>
        <w:wordWrap/>
        <w:overflowPunct/>
        <w:topLinePunct w:val="0"/>
        <w:autoSpaceDE/>
        <w:autoSpaceDN/>
        <w:bidi w:val="0"/>
        <w:adjustRightInd/>
        <w:snapToGrid/>
        <w:spacing w:line="240" w:lineRule="auto"/>
        <w:ind w:firstLine="480"/>
        <w:jc w:val="left"/>
        <w:textAlignment w:val="auto"/>
        <w:rPr>
          <w:rFonts w:hint="default" w:ascii="Times New Roman" w:hAnsi="Times New Roman" w:cs="Times New Roman" w:eastAsiaTheme="minorEastAsia"/>
          <w:color w:val="auto"/>
          <w:sz w:val="24"/>
          <w:szCs w:val="24"/>
        </w:rPr>
      </w:pPr>
      <w:r>
        <w:rPr>
          <w:rFonts w:hint="eastAsia" w:ascii="Times New Roman" w:hAnsi="Times New Roman" w:cs="Times New Roman" w:eastAsiaTheme="minorEastAsia"/>
          <w:color w:val="auto"/>
          <w:sz w:val="24"/>
          <w:szCs w:val="24"/>
        </w:rPr>
        <w:t>注：</w:t>
      </w:r>
      <w:r>
        <w:rPr>
          <w:rFonts w:hint="default" w:ascii="Times New Roman" w:hAnsi="Times New Roman" w:cs="Times New Roman" w:eastAsiaTheme="minorEastAsia"/>
          <w:color w:val="auto"/>
          <w:sz w:val="24"/>
          <w:szCs w:val="24"/>
        </w:rPr>
        <w:t>本标准中污泥好氧堆肥温室气体排放因子根据表4中的监测数据，采取平均值法计算获得。</w:t>
      </w:r>
    </w:p>
    <w:p w14:paraId="60C96C2D">
      <w:pPr>
        <w:pStyle w:val="107"/>
        <w:numPr>
          <w:ilvl w:val="2"/>
          <w:numId w:val="0"/>
        </w:numPr>
        <w:rPr>
          <w:rFonts w:hint="eastAsia"/>
          <w:color w:val="auto"/>
        </w:rPr>
      </w:pPr>
      <w:r>
        <w:rPr>
          <w:rFonts w:hint="eastAsia"/>
          <w:color w:val="auto"/>
        </w:rPr>
        <w:t>A.2.3污泥</w:t>
      </w:r>
      <w:r>
        <w:rPr>
          <w:rFonts w:hint="eastAsia"/>
          <w:color w:val="auto"/>
          <w:lang w:val="en-US" w:eastAsia="zh-CN"/>
        </w:rPr>
        <w:t>焚烧</w:t>
      </w:r>
      <w:r>
        <w:rPr>
          <w:rFonts w:hint="eastAsia"/>
          <w:color w:val="auto"/>
        </w:rPr>
        <w:t>过程温室气体排放因子的确定</w:t>
      </w:r>
    </w:p>
    <w:p w14:paraId="1DD1A725">
      <w:pPr>
        <w:bidi w:val="0"/>
        <w:rPr>
          <w:rFonts w:hint="default"/>
        </w:rPr>
      </w:pPr>
      <w:r>
        <w:rPr>
          <w:rFonts w:hint="default"/>
        </w:rPr>
        <w:t>污泥焚烧是一种常见的污泥稳定化、无害化处理方法，它可以将污泥体积减少约85%~95%，并杀死病原体。在污泥焚烧过程中，会产生温室气体排放，主要包括二氧化碳、甲烷与氧化亚氮。由于污泥碳为生源碳，焚烧过程产生的二氧化碳气体不增加环境的温升，因此在核算过程中不进行核算。</w:t>
      </w:r>
    </w:p>
    <w:p w14:paraId="0F05F29D">
      <w:pPr>
        <w:bidi w:val="0"/>
        <w:rPr>
          <w:rFonts w:hint="default"/>
        </w:rPr>
      </w:pPr>
      <w:r>
        <w:rPr>
          <w:rFonts w:hint="default"/>
        </w:rPr>
        <w:t>本标准采用实测因子，测试场景为：污泥焚烧采用一体式干化焚烧工艺，封闭污泥焚烧设施，通过除臭设施将空间逸散气体进行收集与处理。监测时，监测焚烧排气中的甲烷与氧化亚氮总量，同步监测除臭系统收集到的逸散温室气体，通过两部分温室气体排放总量分别核定甲烷与氧化亚氮排放因子。</w:t>
      </w:r>
    </w:p>
    <w:p w14:paraId="72391F0A">
      <w:pPr>
        <w:bidi w:val="0"/>
        <w:rPr>
          <w:rFonts w:hint="eastAsia"/>
          <w:lang w:val="en-US" w:eastAsia="zh-CN"/>
        </w:rPr>
      </w:pPr>
      <w:r>
        <w:rPr>
          <w:rFonts w:hint="default"/>
        </w:rPr>
        <w:t>取样点位为服务于污泥干化间、半干污泥接收间、半干污泥接收坑、半干污泥输送设备、雨污水泵房的一套臭气处理设施排放口和焚烧烟气排放口。烟气中的排放浓度利用烟气在线监测系统（CEMS）传感器测得。干化尾气一部分进入焚烧炉，一部分在干化系统内循环，因此焚烧烟气中包含一部分干化环节产生的温室气体排放。</w:t>
      </w:r>
      <w:r>
        <w:rPr>
          <w:rFonts w:hint="eastAsia"/>
          <w:lang w:val="en-US" w:eastAsia="zh-CN"/>
        </w:rPr>
        <w:t>排放监测数据如表A.6所示。</w:t>
      </w:r>
    </w:p>
    <w:p w14:paraId="7F785E92">
      <w:pPr>
        <w:bidi w:val="0"/>
        <w:ind w:left="0" w:leftChars="0" w:firstLine="0" w:firstLineChars="0"/>
        <w:jc w:val="center"/>
        <w:rPr>
          <w:rFonts w:hint="default"/>
        </w:rPr>
      </w:pPr>
      <w:r>
        <w:rPr>
          <w:rFonts w:hint="default"/>
        </w:rPr>
        <w:t>表</w:t>
      </w:r>
      <w:r>
        <w:rPr>
          <w:rFonts w:hint="eastAsia"/>
          <w:lang w:val="en-US" w:eastAsia="zh-CN"/>
        </w:rPr>
        <w:t>A.6</w:t>
      </w:r>
      <w:r>
        <w:rPr>
          <w:rFonts w:hint="default"/>
        </w:rPr>
        <w:t xml:space="preserve"> 污泥</w:t>
      </w:r>
      <w:r>
        <w:rPr>
          <w:rFonts w:hint="eastAsia"/>
          <w:lang w:val="en-US" w:eastAsia="zh-CN"/>
        </w:rPr>
        <w:t>干化焚烧设施</w:t>
      </w:r>
      <w:r>
        <w:rPr>
          <w:rFonts w:hint="default"/>
        </w:rPr>
        <w:t>温室气体排放因子</w:t>
      </w:r>
    </w:p>
    <w:tbl>
      <w:tblPr>
        <w:tblStyle w:val="88"/>
        <w:tblW w:w="7937" w:type="dxa"/>
        <w:jc w:val="center"/>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shd w:val="clear" w:color="auto" w:fill="auto"/>
        <w:tblLayout w:type="fixed"/>
        <w:tblCellMar>
          <w:top w:w="0" w:type="dxa"/>
          <w:left w:w="108" w:type="dxa"/>
          <w:bottom w:w="0" w:type="dxa"/>
          <w:right w:w="108" w:type="dxa"/>
        </w:tblCellMar>
      </w:tblPr>
      <w:tblGrid>
        <w:gridCol w:w="1909"/>
        <w:gridCol w:w="2973"/>
        <w:gridCol w:w="3055"/>
      </w:tblGrid>
      <w:tr w14:paraId="1531B05E">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54" w:hRule="atLeast"/>
          <w:jc w:val="center"/>
        </w:trPr>
        <w:tc>
          <w:tcPr>
            <w:tcW w:w="1909" w:type="dxa"/>
            <w:vMerge w:val="restart"/>
            <w:tcBorders>
              <w:right w:val="dashSmallGap" w:color="auto" w:sz="4" w:space="0"/>
              <w:tl2br w:val="nil"/>
              <w:tr2bl w:val="nil"/>
            </w:tcBorders>
            <w:shd w:val="clear" w:color="auto" w:fill="auto"/>
            <w:vAlign w:val="center"/>
          </w:tcPr>
          <w:p w14:paraId="4E36BD84">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jc w:val="center"/>
              <w:textAlignment w:val="center"/>
              <w:rPr>
                <w:rFonts w:hint="default" w:ascii="Times New Roman" w:hAnsi="Times New Roman" w:eastAsia="宋体" w:cs="Times New Roman"/>
                <w:b/>
                <w:bCs/>
                <w:color w:val="000000" w:themeColor="text1"/>
                <w:kern w:val="0"/>
                <w:sz w:val="24"/>
                <w:szCs w:val="24"/>
                <w:lang w:val="en-US" w:eastAsia="zh-CN" w:bidi="ar"/>
                <w14:textFill>
                  <w14:solidFill>
                    <w14:schemeClr w14:val="tx1"/>
                  </w14:solidFill>
                </w14:textFill>
              </w:rPr>
            </w:pPr>
            <w:r>
              <w:rPr>
                <w:rFonts w:hint="default" w:ascii="Times New Roman" w:hAnsi="Times New Roman" w:eastAsia="宋体" w:cs="Times New Roman"/>
                <w:b/>
                <w:bCs/>
                <w:color w:val="000000" w:themeColor="text1"/>
                <w:kern w:val="0"/>
                <w:sz w:val="24"/>
                <w:szCs w:val="24"/>
                <w:lang w:val="en-US" w:eastAsia="zh-CN" w:bidi="ar"/>
                <w14:textFill>
                  <w14:solidFill>
                    <w14:schemeClr w14:val="tx1"/>
                  </w14:solidFill>
                </w14:textFill>
              </w:rPr>
              <w:t>测试项目</w:t>
            </w:r>
          </w:p>
        </w:tc>
        <w:tc>
          <w:tcPr>
            <w:tcW w:w="2973" w:type="dxa"/>
            <w:tcBorders>
              <w:left w:val="dashSmallGap" w:color="auto" w:sz="4" w:space="0"/>
              <w:right w:val="dashSmallGap" w:color="auto" w:sz="4" w:space="0"/>
              <w:tl2br w:val="nil"/>
              <w:tr2bl w:val="nil"/>
            </w:tcBorders>
            <w:shd w:val="clear" w:color="auto" w:fill="auto"/>
            <w:vAlign w:val="center"/>
          </w:tcPr>
          <w:p w14:paraId="391FB87B">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jc w:val="center"/>
              <w:textAlignment w:val="center"/>
              <w:rPr>
                <w:rFonts w:hint="default" w:ascii="Times New Roman" w:hAnsi="Times New Roman" w:eastAsia="宋体" w:cs="Times New Roman"/>
                <w:b/>
                <w:bCs/>
                <w:color w:val="000000" w:themeColor="text1"/>
                <w:kern w:val="0"/>
                <w:sz w:val="24"/>
                <w:szCs w:val="24"/>
                <w:lang w:bidi="ar"/>
                <w14:textFill>
                  <w14:solidFill>
                    <w14:schemeClr w14:val="tx1"/>
                  </w14:solidFill>
                </w14:textFill>
              </w:rPr>
            </w:pPr>
            <w:r>
              <w:rPr>
                <w:rStyle w:val="129"/>
                <w:rFonts w:hint="default" w:ascii="Times New Roman" w:hAnsi="Times New Roman" w:eastAsia="宋体" w:cs="Times New Roman"/>
                <w:b/>
                <w:bCs/>
                <w:color w:val="000000" w:themeColor="text1"/>
                <w:sz w:val="24"/>
                <w:szCs w:val="24"/>
                <w:lang w:bidi="ar"/>
                <w14:textFill>
                  <w14:solidFill>
                    <w14:schemeClr w14:val="tx1"/>
                  </w14:solidFill>
                </w14:textFill>
              </w:rPr>
              <w:t>甲烷排放因子</w:t>
            </w:r>
          </w:p>
        </w:tc>
        <w:tc>
          <w:tcPr>
            <w:tcW w:w="3055" w:type="dxa"/>
            <w:tcBorders>
              <w:left w:val="dashSmallGap" w:color="auto" w:sz="4" w:space="0"/>
              <w:tl2br w:val="nil"/>
              <w:tr2bl w:val="nil"/>
            </w:tcBorders>
            <w:shd w:val="clear" w:color="auto" w:fill="auto"/>
            <w:noWrap/>
            <w:vAlign w:val="center"/>
          </w:tcPr>
          <w:p w14:paraId="30A2BD56">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jc w:val="center"/>
              <w:textAlignment w:val="center"/>
              <w:rPr>
                <w:rFonts w:hint="default" w:ascii="Times New Roman" w:hAnsi="Times New Roman" w:eastAsia="宋体" w:cs="Times New Roman"/>
                <w:b/>
                <w:bCs/>
                <w:color w:val="000000" w:themeColor="text1"/>
                <w:kern w:val="0"/>
                <w:sz w:val="24"/>
                <w:szCs w:val="24"/>
                <w:lang w:bidi="ar"/>
                <w14:textFill>
                  <w14:solidFill>
                    <w14:schemeClr w14:val="tx1"/>
                  </w14:solidFill>
                </w14:textFill>
              </w:rPr>
            </w:pPr>
            <w:r>
              <w:rPr>
                <w:rStyle w:val="129"/>
                <w:rFonts w:hint="default" w:ascii="Times New Roman" w:hAnsi="Times New Roman" w:eastAsia="宋体" w:cs="Times New Roman"/>
                <w:b/>
                <w:bCs/>
                <w:color w:val="000000" w:themeColor="text1"/>
                <w:sz w:val="24"/>
                <w:szCs w:val="24"/>
                <w:lang w:bidi="ar"/>
                <w14:textFill>
                  <w14:solidFill>
                    <w14:schemeClr w14:val="tx1"/>
                  </w14:solidFill>
                </w14:textFill>
              </w:rPr>
              <w:t>氧化亚氮排放因子</w:t>
            </w:r>
          </w:p>
        </w:tc>
      </w:tr>
      <w:tr w14:paraId="46AF332E">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8" w:hRule="atLeast"/>
          <w:jc w:val="center"/>
        </w:trPr>
        <w:tc>
          <w:tcPr>
            <w:tcW w:w="1909" w:type="dxa"/>
            <w:vMerge w:val="continue"/>
            <w:tcBorders>
              <w:bottom w:val="single" w:color="auto" w:sz="12" w:space="0"/>
              <w:right w:val="dashSmallGap" w:color="auto" w:sz="4" w:space="0"/>
              <w:tl2br w:val="nil"/>
              <w:tr2bl w:val="nil"/>
            </w:tcBorders>
            <w:shd w:val="clear" w:color="auto" w:fill="auto"/>
            <w:vAlign w:val="center"/>
          </w:tcPr>
          <w:p w14:paraId="41916C54">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jc w:val="center"/>
              <w:textAlignment w:val="center"/>
              <w:rPr>
                <w:rFonts w:hint="default" w:ascii="Times New Roman" w:hAnsi="Times New Roman" w:eastAsia="宋体" w:cs="Times New Roman"/>
                <w:b/>
                <w:bCs/>
                <w:color w:val="000000" w:themeColor="text1"/>
                <w:kern w:val="0"/>
                <w:sz w:val="24"/>
                <w:szCs w:val="24"/>
                <w:lang w:bidi="ar"/>
                <w14:textFill>
                  <w14:solidFill>
                    <w14:schemeClr w14:val="tx1"/>
                  </w14:solidFill>
                </w14:textFill>
              </w:rPr>
            </w:pPr>
          </w:p>
        </w:tc>
        <w:tc>
          <w:tcPr>
            <w:tcW w:w="2973" w:type="dxa"/>
            <w:tcBorders>
              <w:left w:val="dashSmallGap" w:color="auto" w:sz="4" w:space="0"/>
              <w:bottom w:val="single" w:color="auto" w:sz="12" w:space="0"/>
              <w:right w:val="dashSmallGap" w:color="auto" w:sz="4" w:space="0"/>
              <w:tl2br w:val="nil"/>
              <w:tr2bl w:val="nil"/>
            </w:tcBorders>
            <w:shd w:val="clear" w:color="auto" w:fill="auto"/>
            <w:vAlign w:val="center"/>
          </w:tcPr>
          <w:p w14:paraId="639AF173">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jc w:val="center"/>
              <w:textAlignment w:val="center"/>
              <w:rPr>
                <w:rFonts w:hint="default" w:ascii="Times New Roman" w:hAnsi="Times New Roman" w:eastAsia="宋体" w:cs="Times New Roman"/>
                <w:b/>
                <w:bCs/>
                <w:color w:val="000000" w:themeColor="text1"/>
                <w:kern w:val="0"/>
                <w:sz w:val="24"/>
                <w:szCs w:val="24"/>
                <w:lang w:bidi="ar"/>
                <w14:textFill>
                  <w14:solidFill>
                    <w14:schemeClr w14:val="tx1"/>
                  </w14:solidFill>
                </w14:textFill>
              </w:rPr>
            </w:pPr>
            <w:r>
              <w:rPr>
                <w:rStyle w:val="129"/>
                <w:rFonts w:hint="default" w:ascii="Times New Roman" w:hAnsi="Times New Roman" w:eastAsia="宋体" w:cs="Times New Roman"/>
                <w:b/>
                <w:bCs/>
                <w:color w:val="000000" w:themeColor="text1"/>
                <w:sz w:val="24"/>
                <w:szCs w:val="24"/>
                <w:lang w:bidi="ar"/>
                <w14:textFill>
                  <w14:solidFill>
                    <w14:schemeClr w14:val="tx1"/>
                  </w14:solidFill>
                </w14:textFill>
              </w:rPr>
              <w:t>Kg</w:t>
            </w:r>
            <w:r>
              <w:rPr>
                <w:rStyle w:val="129"/>
                <w:rFonts w:hint="default" w:ascii="Times New Roman" w:hAnsi="Times New Roman" w:eastAsia="宋体" w:cs="Times New Roman"/>
                <w:b/>
                <w:bCs/>
                <w:color w:val="000000" w:themeColor="text1"/>
                <w:sz w:val="24"/>
                <w:szCs w:val="24"/>
                <w:lang w:val="en-US" w:eastAsia="zh-CN" w:bidi="ar"/>
                <w14:textFill>
                  <w14:solidFill>
                    <w14:schemeClr w14:val="tx1"/>
                  </w14:solidFill>
                </w14:textFill>
              </w:rPr>
              <w:t xml:space="preserve"> </w:t>
            </w:r>
            <w:r>
              <w:rPr>
                <w:rStyle w:val="129"/>
                <w:rFonts w:hint="default" w:ascii="Times New Roman" w:hAnsi="Times New Roman" w:eastAsia="宋体" w:cs="Times New Roman"/>
                <w:b/>
                <w:bCs/>
                <w:color w:val="000000" w:themeColor="text1"/>
                <w:sz w:val="24"/>
                <w:szCs w:val="24"/>
                <w:lang w:bidi="ar"/>
                <w14:textFill>
                  <w14:solidFill>
                    <w14:schemeClr w14:val="tx1"/>
                  </w14:solidFill>
                </w14:textFill>
              </w:rPr>
              <w:t>CH</w:t>
            </w:r>
            <w:r>
              <w:rPr>
                <w:rStyle w:val="129"/>
                <w:rFonts w:hint="default" w:ascii="Times New Roman" w:hAnsi="Times New Roman" w:eastAsia="宋体" w:cs="Times New Roman"/>
                <w:b/>
                <w:bCs/>
                <w:color w:val="000000" w:themeColor="text1"/>
                <w:sz w:val="24"/>
                <w:szCs w:val="24"/>
                <w:vertAlign w:val="subscript"/>
                <w:lang w:bidi="ar"/>
                <w14:textFill>
                  <w14:solidFill>
                    <w14:schemeClr w14:val="tx1"/>
                  </w14:solidFill>
                </w14:textFill>
              </w:rPr>
              <w:t>4</w:t>
            </w:r>
            <w:r>
              <w:rPr>
                <w:rStyle w:val="129"/>
                <w:rFonts w:hint="default" w:ascii="Times New Roman" w:hAnsi="Times New Roman" w:eastAsia="宋体" w:cs="Times New Roman"/>
                <w:b/>
                <w:bCs/>
                <w:color w:val="000000" w:themeColor="text1"/>
                <w:sz w:val="24"/>
                <w:szCs w:val="24"/>
                <w:lang w:bidi="ar"/>
                <w14:textFill>
                  <w14:solidFill>
                    <w14:schemeClr w14:val="tx1"/>
                  </w14:solidFill>
                </w14:textFill>
              </w:rPr>
              <w:t>/t</w:t>
            </w:r>
            <w:r>
              <w:rPr>
                <w:rStyle w:val="129"/>
                <w:rFonts w:hint="default" w:ascii="Times New Roman" w:hAnsi="Times New Roman" w:eastAsia="宋体" w:cs="Times New Roman"/>
                <w:b/>
                <w:bCs/>
                <w:color w:val="000000" w:themeColor="text1"/>
                <w:sz w:val="24"/>
                <w:szCs w:val="24"/>
                <w:lang w:val="en-US" w:eastAsia="zh-CN" w:bidi="ar"/>
                <w14:textFill>
                  <w14:solidFill>
                    <w14:schemeClr w14:val="tx1"/>
                  </w14:solidFill>
                </w14:textFill>
              </w:rPr>
              <w:t xml:space="preserve"> </w:t>
            </w:r>
            <w:r>
              <w:rPr>
                <w:rStyle w:val="129"/>
                <w:rFonts w:hint="default" w:ascii="Times New Roman" w:hAnsi="Times New Roman" w:eastAsia="宋体" w:cs="Times New Roman"/>
                <w:b/>
                <w:bCs/>
                <w:color w:val="000000" w:themeColor="text1"/>
                <w:sz w:val="24"/>
                <w:szCs w:val="24"/>
                <w:lang w:bidi="ar"/>
                <w14:textFill>
                  <w14:solidFill>
                    <w14:schemeClr w14:val="tx1"/>
                  </w14:solidFill>
                </w14:textFill>
              </w:rPr>
              <w:t>DS</w:t>
            </w:r>
          </w:p>
        </w:tc>
        <w:tc>
          <w:tcPr>
            <w:tcW w:w="3055" w:type="dxa"/>
            <w:tcBorders>
              <w:left w:val="dashSmallGap" w:color="auto" w:sz="4" w:space="0"/>
              <w:bottom w:val="single" w:color="auto" w:sz="12" w:space="0"/>
              <w:tl2br w:val="nil"/>
              <w:tr2bl w:val="nil"/>
            </w:tcBorders>
            <w:shd w:val="clear" w:color="auto" w:fill="auto"/>
            <w:noWrap/>
            <w:vAlign w:val="center"/>
          </w:tcPr>
          <w:p w14:paraId="27A178EE">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jc w:val="center"/>
              <w:textAlignment w:val="center"/>
              <w:rPr>
                <w:rFonts w:hint="default" w:ascii="Times New Roman" w:hAnsi="Times New Roman" w:eastAsia="宋体" w:cs="Times New Roman"/>
                <w:b/>
                <w:bCs/>
                <w:color w:val="000000" w:themeColor="text1"/>
                <w:kern w:val="0"/>
                <w:sz w:val="24"/>
                <w:szCs w:val="24"/>
                <w:lang w:bidi="ar"/>
                <w14:textFill>
                  <w14:solidFill>
                    <w14:schemeClr w14:val="tx1"/>
                  </w14:solidFill>
                </w14:textFill>
              </w:rPr>
            </w:pPr>
            <w:r>
              <w:rPr>
                <w:rStyle w:val="129"/>
                <w:rFonts w:hint="default" w:ascii="Times New Roman" w:hAnsi="Times New Roman" w:eastAsia="宋体" w:cs="Times New Roman"/>
                <w:b/>
                <w:bCs/>
                <w:color w:val="000000" w:themeColor="text1"/>
                <w:sz w:val="24"/>
                <w:szCs w:val="24"/>
                <w:lang w:bidi="ar"/>
                <w14:textFill>
                  <w14:solidFill>
                    <w14:schemeClr w14:val="tx1"/>
                  </w14:solidFill>
                </w14:textFill>
              </w:rPr>
              <w:t>Kg</w:t>
            </w:r>
            <w:r>
              <w:rPr>
                <w:rStyle w:val="129"/>
                <w:rFonts w:hint="default" w:ascii="Times New Roman" w:hAnsi="Times New Roman" w:eastAsia="宋体" w:cs="Times New Roman"/>
                <w:b/>
                <w:bCs/>
                <w:color w:val="000000" w:themeColor="text1"/>
                <w:sz w:val="24"/>
                <w:szCs w:val="24"/>
                <w:lang w:val="en-US" w:eastAsia="zh-CN" w:bidi="ar"/>
                <w14:textFill>
                  <w14:solidFill>
                    <w14:schemeClr w14:val="tx1"/>
                  </w14:solidFill>
                </w14:textFill>
              </w:rPr>
              <w:t xml:space="preserve"> </w:t>
            </w:r>
            <w:r>
              <w:rPr>
                <w:rStyle w:val="129"/>
                <w:rFonts w:hint="default" w:ascii="Times New Roman" w:hAnsi="Times New Roman" w:eastAsia="宋体" w:cs="Times New Roman"/>
                <w:b/>
                <w:bCs/>
                <w:color w:val="000000" w:themeColor="text1"/>
                <w:sz w:val="24"/>
                <w:szCs w:val="24"/>
                <w:lang w:bidi="ar"/>
                <w14:textFill>
                  <w14:solidFill>
                    <w14:schemeClr w14:val="tx1"/>
                  </w14:solidFill>
                </w14:textFill>
              </w:rPr>
              <w:t>N</w:t>
            </w:r>
            <w:r>
              <w:rPr>
                <w:rStyle w:val="129"/>
                <w:rFonts w:hint="default" w:ascii="Times New Roman" w:hAnsi="Times New Roman" w:eastAsia="宋体" w:cs="Times New Roman"/>
                <w:b/>
                <w:bCs/>
                <w:color w:val="000000" w:themeColor="text1"/>
                <w:sz w:val="24"/>
                <w:szCs w:val="24"/>
                <w:vertAlign w:val="subscript"/>
                <w:lang w:bidi="ar"/>
                <w14:textFill>
                  <w14:solidFill>
                    <w14:schemeClr w14:val="tx1"/>
                  </w14:solidFill>
                </w14:textFill>
              </w:rPr>
              <w:t>2</w:t>
            </w:r>
            <w:r>
              <w:rPr>
                <w:rStyle w:val="129"/>
                <w:rFonts w:hint="default" w:ascii="Times New Roman" w:hAnsi="Times New Roman" w:eastAsia="宋体" w:cs="Times New Roman"/>
                <w:b/>
                <w:bCs/>
                <w:color w:val="000000" w:themeColor="text1"/>
                <w:sz w:val="24"/>
                <w:szCs w:val="24"/>
                <w:lang w:bidi="ar"/>
                <w14:textFill>
                  <w14:solidFill>
                    <w14:schemeClr w14:val="tx1"/>
                  </w14:solidFill>
                </w14:textFill>
              </w:rPr>
              <w:t>O/t</w:t>
            </w:r>
            <w:r>
              <w:rPr>
                <w:rStyle w:val="129"/>
                <w:rFonts w:hint="default" w:ascii="Times New Roman" w:hAnsi="Times New Roman" w:eastAsia="宋体" w:cs="Times New Roman"/>
                <w:b/>
                <w:bCs/>
                <w:color w:val="000000" w:themeColor="text1"/>
                <w:sz w:val="24"/>
                <w:szCs w:val="24"/>
                <w:lang w:val="en-US" w:eastAsia="zh-CN" w:bidi="ar"/>
                <w14:textFill>
                  <w14:solidFill>
                    <w14:schemeClr w14:val="tx1"/>
                  </w14:solidFill>
                </w14:textFill>
              </w:rPr>
              <w:t xml:space="preserve"> </w:t>
            </w:r>
            <w:r>
              <w:rPr>
                <w:rStyle w:val="129"/>
                <w:rFonts w:hint="default" w:ascii="Times New Roman" w:hAnsi="Times New Roman" w:eastAsia="宋体" w:cs="Times New Roman"/>
                <w:b/>
                <w:bCs/>
                <w:color w:val="000000" w:themeColor="text1"/>
                <w:sz w:val="24"/>
                <w:szCs w:val="24"/>
                <w:lang w:bidi="ar"/>
                <w14:textFill>
                  <w14:solidFill>
                    <w14:schemeClr w14:val="tx1"/>
                  </w14:solidFill>
                </w14:textFill>
              </w:rPr>
              <w:t>DS</w:t>
            </w:r>
          </w:p>
        </w:tc>
      </w:tr>
      <w:tr w14:paraId="2FDF2846">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09" w:type="dxa"/>
            <w:tcBorders>
              <w:top w:val="single" w:color="auto" w:sz="12" w:space="0"/>
              <w:right w:val="dashSmallGap" w:color="auto" w:sz="4" w:space="0"/>
              <w:tl2br w:val="nil"/>
              <w:tr2bl w:val="nil"/>
            </w:tcBorders>
            <w:shd w:val="clear" w:color="auto" w:fill="auto"/>
            <w:vAlign w:val="center"/>
          </w:tcPr>
          <w:p w14:paraId="0BCDBC3A">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jc w:val="center"/>
              <w:textAlignment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1</w:t>
            </w:r>
          </w:p>
        </w:tc>
        <w:tc>
          <w:tcPr>
            <w:tcW w:w="2973" w:type="dxa"/>
            <w:tcBorders>
              <w:top w:val="single" w:color="auto" w:sz="12" w:space="0"/>
              <w:left w:val="dashSmallGap" w:color="auto" w:sz="4" w:space="0"/>
              <w:right w:val="dashSmallGap" w:color="auto" w:sz="4" w:space="0"/>
              <w:tl2br w:val="nil"/>
              <w:tr2bl w:val="nil"/>
            </w:tcBorders>
            <w:shd w:val="clear" w:color="auto" w:fill="auto"/>
            <w:vAlign w:val="center"/>
          </w:tcPr>
          <w:p w14:paraId="786F518F">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jc w:val="center"/>
              <w:textAlignment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0.00092</w:t>
            </w:r>
          </w:p>
        </w:tc>
        <w:tc>
          <w:tcPr>
            <w:tcW w:w="3055" w:type="dxa"/>
            <w:tcBorders>
              <w:top w:val="single" w:color="auto" w:sz="12" w:space="0"/>
              <w:left w:val="dashSmallGap" w:color="auto" w:sz="4" w:space="0"/>
              <w:tl2br w:val="nil"/>
              <w:tr2bl w:val="nil"/>
            </w:tcBorders>
            <w:shd w:val="clear" w:color="auto" w:fill="auto"/>
            <w:noWrap/>
            <w:vAlign w:val="center"/>
          </w:tcPr>
          <w:p w14:paraId="04F96ED3">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jc w:val="center"/>
              <w:textAlignment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0.6996</w:t>
            </w:r>
          </w:p>
        </w:tc>
      </w:tr>
      <w:tr w14:paraId="55F5FFDF">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09" w:type="dxa"/>
            <w:tcBorders>
              <w:right w:val="dashSmallGap" w:color="auto" w:sz="4" w:space="0"/>
              <w:tl2br w:val="nil"/>
              <w:tr2bl w:val="nil"/>
            </w:tcBorders>
            <w:shd w:val="clear" w:color="auto" w:fill="auto"/>
            <w:vAlign w:val="center"/>
          </w:tcPr>
          <w:p w14:paraId="6CCD4911">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jc w:val="center"/>
              <w:textAlignment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2</w:t>
            </w:r>
          </w:p>
        </w:tc>
        <w:tc>
          <w:tcPr>
            <w:tcW w:w="2973" w:type="dxa"/>
            <w:tcBorders>
              <w:left w:val="dashSmallGap" w:color="auto" w:sz="4" w:space="0"/>
              <w:right w:val="dashSmallGap" w:color="auto" w:sz="4" w:space="0"/>
              <w:tl2br w:val="nil"/>
              <w:tr2bl w:val="nil"/>
            </w:tcBorders>
            <w:shd w:val="clear" w:color="auto" w:fill="auto"/>
            <w:vAlign w:val="center"/>
          </w:tcPr>
          <w:p w14:paraId="74B43618">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jc w:val="center"/>
              <w:textAlignment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0.00520</w:t>
            </w:r>
          </w:p>
        </w:tc>
        <w:tc>
          <w:tcPr>
            <w:tcW w:w="3055" w:type="dxa"/>
            <w:tcBorders>
              <w:left w:val="dashSmallGap" w:color="auto" w:sz="4" w:space="0"/>
              <w:tl2br w:val="nil"/>
              <w:tr2bl w:val="nil"/>
            </w:tcBorders>
            <w:shd w:val="clear" w:color="auto" w:fill="auto"/>
            <w:vAlign w:val="center"/>
          </w:tcPr>
          <w:p w14:paraId="4098188B">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jc w:val="center"/>
              <w:textAlignment w:val="center"/>
              <w:rPr>
                <w:rFonts w:hint="default" w:ascii="Times New Roman" w:hAnsi="Times New Roman" w:eastAsia="宋体" w:cs="Times New Roman"/>
                <w:color w:val="000000" w:themeColor="text1"/>
                <w:sz w:val="24"/>
                <w:szCs w:val="24"/>
                <w:lang w:val="en-US" w:eastAsia="zh-CN"/>
                <w14:textFill>
                  <w14:solidFill>
                    <w14:schemeClr w14:val="tx1"/>
                  </w14:solidFill>
                </w14:textFill>
              </w:rPr>
            </w:pPr>
            <w:r>
              <w:rPr>
                <w:rFonts w:hint="default" w:ascii="Times New Roman" w:hAnsi="Times New Roman" w:eastAsia="宋体" w:cs="Times New Roman"/>
                <w:color w:val="000000" w:themeColor="text1"/>
                <w:sz w:val="24"/>
                <w:szCs w:val="24"/>
                <w:lang w:val="en-US" w:eastAsia="zh-CN"/>
                <w14:textFill>
                  <w14:solidFill>
                    <w14:schemeClr w14:val="tx1"/>
                  </w14:solidFill>
                </w14:textFill>
              </w:rPr>
              <w:t>0.9048</w:t>
            </w:r>
          </w:p>
        </w:tc>
      </w:tr>
      <w:tr w14:paraId="4050CC2D">
        <w:tblPrEx>
          <w:tblBorders>
            <w:top w:val="single" w:color="auto" w:sz="12" w:space="0"/>
            <w:left w:val="none" w:color="auto" w:sz="0" w:space="0"/>
            <w:bottom w:val="single" w:color="auto" w:sz="12" w:space="0"/>
            <w:right w:val="none" w:color="auto" w:sz="0" w:space="0"/>
            <w:insideH w:val="single" w:color="000000" w:sz="4" w:space="0"/>
            <w:insideV w:val="single" w:color="000000" w:sz="4" w:space="0"/>
          </w:tblBorders>
          <w:tblCellMar>
            <w:top w:w="0" w:type="dxa"/>
            <w:left w:w="108" w:type="dxa"/>
            <w:bottom w:w="0" w:type="dxa"/>
            <w:right w:w="108" w:type="dxa"/>
          </w:tblCellMar>
        </w:tblPrEx>
        <w:trPr>
          <w:trHeight w:val="454" w:hRule="atLeast"/>
          <w:jc w:val="center"/>
        </w:trPr>
        <w:tc>
          <w:tcPr>
            <w:tcW w:w="1909" w:type="dxa"/>
            <w:tcBorders>
              <w:right w:val="dashSmallGap" w:color="auto" w:sz="4" w:space="0"/>
              <w:tl2br w:val="nil"/>
              <w:tr2bl w:val="nil"/>
            </w:tcBorders>
            <w:shd w:val="clear" w:color="auto" w:fill="auto"/>
            <w:vAlign w:val="center"/>
          </w:tcPr>
          <w:p w14:paraId="0721AE8A">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jc w:val="center"/>
              <w:textAlignment w:val="cente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0"/>
                <w:sz w:val="24"/>
                <w:szCs w:val="24"/>
                <w:lang w:val="en-US" w:eastAsia="zh-CN" w:bidi="ar"/>
                <w14:textFill>
                  <w14:solidFill>
                    <w14:schemeClr w14:val="tx1"/>
                  </w14:solidFill>
                </w14:textFill>
              </w:rPr>
              <w:t>平均值</w:t>
            </w:r>
          </w:p>
        </w:tc>
        <w:tc>
          <w:tcPr>
            <w:tcW w:w="2973" w:type="dxa"/>
            <w:tcBorders>
              <w:left w:val="dashSmallGap" w:color="auto" w:sz="4" w:space="0"/>
              <w:right w:val="dashSmallGap" w:color="auto" w:sz="4" w:space="0"/>
              <w:tl2br w:val="nil"/>
              <w:tr2bl w:val="nil"/>
            </w:tcBorders>
            <w:shd w:val="clear" w:color="auto" w:fill="auto"/>
            <w:vAlign w:val="center"/>
          </w:tcPr>
          <w:p w14:paraId="505DF1EF">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jc w:val="center"/>
              <w:textAlignment w:val="cente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0.0031</w:t>
            </w:r>
          </w:p>
        </w:tc>
        <w:tc>
          <w:tcPr>
            <w:tcW w:w="3055" w:type="dxa"/>
            <w:tcBorders>
              <w:left w:val="dashSmallGap" w:color="auto" w:sz="4" w:space="0"/>
              <w:tl2br w:val="nil"/>
              <w:tr2bl w:val="nil"/>
            </w:tcBorders>
            <w:shd w:val="clear" w:color="auto" w:fill="auto"/>
            <w:vAlign w:val="center"/>
          </w:tcPr>
          <w:p w14:paraId="54A10CD8">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jc w:val="center"/>
              <w:textAlignment w:val="cente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pPr>
            <w:r>
              <w:rPr>
                <w:rFonts w:hint="default" w:ascii="Times New Roman" w:hAnsi="Times New Roman" w:eastAsia="宋体" w:cs="Times New Roman"/>
                <w:color w:val="000000" w:themeColor="text1"/>
                <w:kern w:val="2"/>
                <w:sz w:val="24"/>
                <w:szCs w:val="24"/>
                <w:lang w:val="en-US" w:eastAsia="zh-CN" w:bidi="ar-SA"/>
                <w14:textFill>
                  <w14:solidFill>
                    <w14:schemeClr w14:val="tx1"/>
                  </w14:solidFill>
                </w14:textFill>
              </w:rPr>
              <w:t>0.802</w:t>
            </w:r>
          </w:p>
        </w:tc>
      </w:tr>
    </w:tbl>
    <w:p w14:paraId="5C669AEA">
      <w:pPr>
        <w:pStyle w:val="110"/>
        <w:numPr>
          <w:ilvl w:val="1"/>
          <w:numId w:val="0"/>
        </w:numPr>
        <w:bidi w:val="0"/>
        <w:rPr>
          <w:rFonts w:hint="eastAsia"/>
        </w:rPr>
      </w:pPr>
      <w:bookmarkStart w:id="76" w:name="_Toc26151"/>
      <w:r>
        <w:rPr>
          <w:rFonts w:hint="eastAsia"/>
        </w:rPr>
        <w:t>A.3</w:t>
      </w:r>
      <w:r>
        <w:rPr>
          <w:rFonts w:hint="eastAsia"/>
        </w:rPr>
        <w:tab/>
      </w:r>
      <w:r>
        <w:rPr>
          <w:rFonts w:hint="eastAsia"/>
        </w:rPr>
        <w:t>药剂使用过程间接排放因子的确定</w:t>
      </w:r>
      <w:bookmarkEnd w:id="76"/>
    </w:p>
    <w:p w14:paraId="5DB3F899">
      <w:pPr>
        <w:bidi w:val="0"/>
      </w:pPr>
      <w:r>
        <w:t>污水及污泥处理过程使用的化学药剂种类繁多，对</w:t>
      </w:r>
      <w:r>
        <w:rPr>
          <w:rFonts w:hint="eastAsia"/>
          <w:lang w:val="en-US" w:eastAsia="zh-CN"/>
        </w:rPr>
        <w:t>药剂</w:t>
      </w:r>
      <w:r>
        <w:t>排放进行核算及管理将使企业在整个价值链上承担起减碳责任，而不仅仅是关注直接运营排放和能源使用排放，是实现低碳转型的重要环节。</w:t>
      </w:r>
    </w:p>
    <w:p w14:paraId="02F4D29B">
      <w:pPr>
        <w:bidi w:val="0"/>
      </w:pPr>
      <w:r>
        <w:t>本标准以国内典型污水及污泥处理工艺为例，开展药剂使用过程间接排放量试算。其中：</w:t>
      </w:r>
    </w:p>
    <w:p w14:paraId="05403252">
      <w:pPr>
        <w:bidi w:val="0"/>
      </w:pPr>
      <w:r>
        <w:t>演算场景（一）：华北地区，污水处理工艺采用推流式工艺；污泥处理采用厌氧消化耦合深度脱水，污泥泥饼外运处置。</w:t>
      </w:r>
    </w:p>
    <w:p w14:paraId="0AD720A3">
      <w:pPr>
        <w:bidi w:val="0"/>
      </w:pPr>
      <w:r>
        <w:t>演算场景（二）：华东地区，污水处理工艺采用序批式工艺；污泥处理采用污泥焚烧工艺。</w:t>
      </w:r>
    </w:p>
    <w:p w14:paraId="7A0BB1D3">
      <w:pPr>
        <w:bidi w:val="0"/>
      </w:pPr>
      <w:r>
        <w:t>演算场景（三）：华中地区，污水处理工艺采用推流式工艺；污泥处理采用板框脱水工艺，污泥泥饼外运处置。</w:t>
      </w:r>
    </w:p>
    <w:p w14:paraId="10DEE2FF">
      <w:pPr>
        <w:bidi w:val="0"/>
      </w:pPr>
    </w:p>
    <w:p w14:paraId="444E0FD3">
      <w:pPr>
        <w:bidi w:val="0"/>
      </w:pPr>
    </w:p>
    <w:p w14:paraId="2DB1DDA1">
      <w:pPr>
        <w:bidi w:val="0"/>
        <w:ind w:left="0" w:leftChars="0" w:firstLine="560" w:firstLineChars="200"/>
        <w:jc w:val="both"/>
      </w:pPr>
      <w:r>
        <w:t>表</w:t>
      </w:r>
      <w:r>
        <w:rPr>
          <w:rFonts w:hint="eastAsia"/>
          <w:lang w:val="en-US" w:eastAsia="zh-CN"/>
        </w:rPr>
        <w:t>A.</w:t>
      </w:r>
      <w:r>
        <w:rPr>
          <w:rFonts w:hint="eastAsia"/>
        </w:rPr>
        <w:t>7</w:t>
      </w:r>
      <w:r>
        <w:t xml:space="preserve"> 各类药剂使用过程碳排放占比</w:t>
      </w:r>
    </w:p>
    <w:tbl>
      <w:tblPr>
        <w:tblStyle w:val="88"/>
        <w:tblW w:w="4998" w:type="pct"/>
        <w:tblInd w:w="0" w:type="dxa"/>
        <w:shd w:val="clear" w:color="auto" w:fill="auto"/>
        <w:tblLayout w:type="autofit"/>
        <w:tblCellMar>
          <w:top w:w="0" w:type="dxa"/>
          <w:left w:w="108" w:type="dxa"/>
          <w:bottom w:w="0" w:type="dxa"/>
          <w:right w:w="108" w:type="dxa"/>
        </w:tblCellMar>
      </w:tblPr>
      <w:tblGrid>
        <w:gridCol w:w="2837"/>
        <w:gridCol w:w="1896"/>
        <w:gridCol w:w="1896"/>
        <w:gridCol w:w="1896"/>
      </w:tblGrid>
      <w:tr w14:paraId="59D1C3FA">
        <w:tblPrEx>
          <w:shd w:val="clear" w:color="auto" w:fill="auto"/>
          <w:tblCellMar>
            <w:top w:w="0" w:type="dxa"/>
            <w:left w:w="108" w:type="dxa"/>
            <w:bottom w:w="0" w:type="dxa"/>
            <w:right w:w="108" w:type="dxa"/>
          </w:tblCellMar>
        </w:tblPrEx>
        <w:trPr>
          <w:trHeight w:val="308" w:hRule="atLeast"/>
        </w:trPr>
        <w:tc>
          <w:tcPr>
            <w:tcW w:w="1782" w:type="pct"/>
            <w:vMerge w:val="restart"/>
            <w:tcBorders>
              <w:top w:val="single" w:color="000000" w:sz="8" w:space="0"/>
              <w:left w:val="nil"/>
              <w:right w:val="single" w:color="000000" w:sz="4" w:space="0"/>
            </w:tcBorders>
            <w:shd w:val="clear" w:color="auto" w:fill="auto"/>
            <w:noWrap/>
            <w:vAlign w:val="center"/>
          </w:tcPr>
          <w:p w14:paraId="1B9036E4">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b/>
                <w:bCs/>
                <w:color w:val="000000"/>
                <w:sz w:val="24"/>
                <w:szCs w:val="24"/>
              </w:rPr>
            </w:pPr>
          </w:p>
        </w:tc>
        <w:tc>
          <w:tcPr>
            <w:tcW w:w="3217" w:type="pct"/>
            <w:gridSpan w:val="3"/>
            <w:tcBorders>
              <w:top w:val="single" w:color="000000" w:sz="8" w:space="0"/>
              <w:left w:val="single" w:color="000000" w:sz="4" w:space="0"/>
              <w:bottom w:val="single" w:color="000000" w:sz="8" w:space="0"/>
              <w:right w:val="nil"/>
            </w:tcBorders>
            <w:shd w:val="clear" w:color="auto" w:fill="auto"/>
            <w:noWrap/>
            <w:vAlign w:val="center"/>
          </w:tcPr>
          <w:p w14:paraId="069694A9">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b/>
                <w:bCs/>
                <w:color w:val="000000"/>
                <w:sz w:val="24"/>
                <w:szCs w:val="24"/>
              </w:rPr>
            </w:pPr>
            <w:r>
              <w:rPr>
                <w:rFonts w:hint="default" w:ascii="Times New Roman" w:hAnsi="Times New Roman" w:eastAsia="宋体" w:cs="Times New Roman"/>
                <w:b/>
                <w:bCs/>
                <w:color w:val="000000"/>
                <w:sz w:val="24"/>
                <w:szCs w:val="24"/>
              </w:rPr>
              <w:t>排放占比</w:t>
            </w:r>
          </w:p>
        </w:tc>
      </w:tr>
      <w:tr w14:paraId="13627E24">
        <w:tblPrEx>
          <w:tblCellMar>
            <w:top w:w="0" w:type="dxa"/>
            <w:left w:w="108" w:type="dxa"/>
            <w:bottom w:w="0" w:type="dxa"/>
            <w:right w:w="108" w:type="dxa"/>
          </w:tblCellMar>
        </w:tblPrEx>
        <w:trPr>
          <w:trHeight w:val="384" w:hRule="atLeast"/>
        </w:trPr>
        <w:tc>
          <w:tcPr>
            <w:tcW w:w="1782" w:type="pct"/>
            <w:vMerge w:val="continue"/>
            <w:tcBorders>
              <w:left w:val="nil"/>
              <w:right w:val="single" w:color="000000" w:sz="4" w:space="0"/>
            </w:tcBorders>
            <w:shd w:val="clear" w:color="auto" w:fill="auto"/>
            <w:vAlign w:val="center"/>
          </w:tcPr>
          <w:p w14:paraId="5F582A94">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Style w:val="130"/>
                <w:rFonts w:hint="default" w:ascii="Times New Roman" w:hAnsi="Times New Roman" w:eastAsia="宋体" w:cs="Times New Roman"/>
                <w:color w:val="auto"/>
                <w:sz w:val="24"/>
                <w:szCs w:val="24"/>
                <w:lang w:bidi="ar"/>
              </w:rPr>
            </w:pPr>
          </w:p>
        </w:tc>
        <w:tc>
          <w:tcPr>
            <w:tcW w:w="1069" w:type="pct"/>
            <w:tcBorders>
              <w:top w:val="single" w:color="000000" w:sz="8" w:space="0"/>
              <w:left w:val="dashSmallGap" w:color="000000" w:sz="4" w:space="0"/>
              <w:bottom w:val="dashSmallGap" w:color="000000" w:sz="4" w:space="0"/>
              <w:right w:val="nil"/>
            </w:tcBorders>
            <w:shd w:val="clear" w:color="auto" w:fill="auto"/>
            <w:noWrap/>
            <w:vAlign w:val="center"/>
          </w:tcPr>
          <w:p w14:paraId="54666B06">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rPr>
                <w:rStyle w:val="129"/>
                <w:rFonts w:hint="default" w:ascii="Times New Roman" w:hAnsi="Times New Roman" w:eastAsia="宋体" w:cs="Times New Roman"/>
                <w:color w:val="auto"/>
                <w:sz w:val="24"/>
                <w:szCs w:val="24"/>
                <w:lang w:bidi="ar"/>
              </w:rPr>
            </w:pPr>
            <w:r>
              <w:rPr>
                <w:rFonts w:hint="default" w:ascii="Times New Roman" w:hAnsi="Times New Roman" w:eastAsia="宋体" w:cs="Times New Roman"/>
                <w:sz w:val="24"/>
                <w:szCs w:val="24"/>
              </w:rPr>
              <w:t>演算场景（一）</w:t>
            </w:r>
          </w:p>
        </w:tc>
        <w:tc>
          <w:tcPr>
            <w:tcW w:w="1069" w:type="pct"/>
            <w:tcBorders>
              <w:top w:val="single" w:color="000000" w:sz="8" w:space="0"/>
              <w:left w:val="dashSmallGap" w:color="000000" w:sz="4" w:space="0"/>
              <w:bottom w:val="dashSmallGap" w:color="000000" w:sz="4" w:space="0"/>
              <w:right w:val="nil"/>
            </w:tcBorders>
            <w:shd w:val="clear" w:color="auto" w:fill="auto"/>
            <w:noWrap/>
            <w:vAlign w:val="center"/>
          </w:tcPr>
          <w:p w14:paraId="7824974C">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rPr>
                <w:rStyle w:val="129"/>
                <w:rFonts w:hint="default" w:ascii="Times New Roman" w:hAnsi="Times New Roman" w:eastAsia="宋体" w:cs="Times New Roman"/>
                <w:color w:val="auto"/>
                <w:sz w:val="24"/>
                <w:szCs w:val="24"/>
                <w:lang w:bidi="ar"/>
              </w:rPr>
            </w:pPr>
            <w:r>
              <w:rPr>
                <w:rFonts w:hint="default" w:ascii="Times New Roman" w:hAnsi="Times New Roman" w:eastAsia="宋体" w:cs="Times New Roman"/>
                <w:sz w:val="24"/>
                <w:szCs w:val="24"/>
              </w:rPr>
              <w:t>演算场景（二）</w:t>
            </w:r>
          </w:p>
        </w:tc>
        <w:tc>
          <w:tcPr>
            <w:tcW w:w="1069" w:type="pct"/>
            <w:tcBorders>
              <w:top w:val="single" w:color="000000" w:sz="8" w:space="0"/>
              <w:left w:val="dashSmallGap" w:color="000000" w:sz="4" w:space="0"/>
              <w:bottom w:val="dashSmallGap" w:color="000000" w:sz="4" w:space="0"/>
              <w:right w:val="nil"/>
            </w:tcBorders>
            <w:shd w:val="clear" w:color="auto" w:fill="auto"/>
            <w:noWrap/>
            <w:vAlign w:val="center"/>
          </w:tcPr>
          <w:p w14:paraId="2ECD41CF">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color w:val="FF0000"/>
                <w:sz w:val="24"/>
                <w:szCs w:val="24"/>
              </w:rPr>
            </w:pPr>
            <w:r>
              <w:rPr>
                <w:rFonts w:hint="default" w:ascii="Times New Roman" w:hAnsi="Times New Roman" w:eastAsia="宋体" w:cs="Times New Roman"/>
                <w:sz w:val="24"/>
                <w:szCs w:val="24"/>
              </w:rPr>
              <w:t>演算场景（三）</w:t>
            </w:r>
          </w:p>
        </w:tc>
      </w:tr>
      <w:tr w14:paraId="669B73A4">
        <w:tblPrEx>
          <w:shd w:val="clear" w:color="auto" w:fill="auto"/>
          <w:tblCellMar>
            <w:top w:w="0" w:type="dxa"/>
            <w:left w:w="108" w:type="dxa"/>
            <w:bottom w:w="0" w:type="dxa"/>
            <w:right w:w="108" w:type="dxa"/>
          </w:tblCellMar>
        </w:tblPrEx>
        <w:trPr>
          <w:trHeight w:val="500" w:hRule="atLeast"/>
        </w:trPr>
        <w:tc>
          <w:tcPr>
            <w:tcW w:w="1782" w:type="pct"/>
            <w:tcBorders>
              <w:top w:val="single" w:color="000000" w:sz="8" w:space="0"/>
              <w:left w:val="nil"/>
              <w:bottom w:val="dashSmallGap" w:color="auto" w:sz="4" w:space="0"/>
              <w:right w:val="dashSmallGap" w:color="000000" w:sz="4" w:space="0"/>
            </w:tcBorders>
            <w:shd w:val="clear" w:color="auto" w:fill="auto"/>
            <w:vAlign w:val="center"/>
          </w:tcPr>
          <w:p w14:paraId="448DD9AF">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left"/>
              <w:textAlignment w:val="center"/>
              <w:rPr>
                <w:rStyle w:val="130"/>
                <w:rFonts w:hint="default" w:ascii="Times New Roman" w:hAnsi="Times New Roman" w:eastAsia="宋体" w:cs="Times New Roman"/>
                <w:color w:val="auto"/>
                <w:sz w:val="24"/>
                <w:szCs w:val="24"/>
                <w:lang w:bidi="ar"/>
              </w:rPr>
            </w:pPr>
            <w:r>
              <w:rPr>
                <w:rStyle w:val="130"/>
                <w:rFonts w:hint="default" w:ascii="Times New Roman" w:hAnsi="Times New Roman" w:eastAsia="宋体" w:cs="Times New Roman"/>
                <w:b/>
                <w:bCs/>
                <w:color w:val="auto"/>
                <w:sz w:val="24"/>
                <w:szCs w:val="24"/>
                <w:lang w:bidi="ar"/>
              </w:rPr>
              <w:t>化学药剂占总排放：</w:t>
            </w:r>
          </w:p>
        </w:tc>
        <w:tc>
          <w:tcPr>
            <w:tcW w:w="1069" w:type="pct"/>
            <w:tcBorders>
              <w:top w:val="single" w:color="000000" w:sz="8" w:space="0"/>
              <w:left w:val="dashSmallGap" w:color="000000" w:sz="4" w:space="0"/>
              <w:bottom w:val="dashSmallGap" w:color="auto" w:sz="4" w:space="0"/>
              <w:right w:val="nil"/>
            </w:tcBorders>
            <w:shd w:val="clear" w:color="auto" w:fill="auto"/>
            <w:noWrap/>
            <w:vAlign w:val="center"/>
          </w:tcPr>
          <w:p w14:paraId="10E4E7AB">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rPr>
                <w:rFonts w:hint="default" w:ascii="Times New Roman" w:hAnsi="Times New Roman" w:eastAsia="宋体" w:cs="Times New Roman"/>
                <w:sz w:val="24"/>
                <w:szCs w:val="24"/>
              </w:rPr>
            </w:pPr>
            <w:r>
              <w:rPr>
                <w:rStyle w:val="129"/>
                <w:rFonts w:hint="default" w:ascii="Times New Roman" w:hAnsi="Times New Roman" w:eastAsia="宋体" w:cs="Times New Roman"/>
                <w:color w:val="auto"/>
                <w:sz w:val="24"/>
                <w:szCs w:val="24"/>
                <w:lang w:bidi="ar"/>
              </w:rPr>
              <w:t>6.7%</w:t>
            </w:r>
          </w:p>
        </w:tc>
        <w:tc>
          <w:tcPr>
            <w:tcW w:w="1069" w:type="pct"/>
            <w:tcBorders>
              <w:top w:val="single" w:color="000000" w:sz="8" w:space="0"/>
              <w:left w:val="dashSmallGap" w:color="000000" w:sz="4" w:space="0"/>
              <w:bottom w:val="dashSmallGap" w:color="auto" w:sz="4" w:space="0"/>
              <w:right w:val="nil"/>
            </w:tcBorders>
            <w:shd w:val="clear" w:color="auto" w:fill="auto"/>
            <w:noWrap/>
            <w:vAlign w:val="center"/>
          </w:tcPr>
          <w:p w14:paraId="38983D79">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rPr>
                <w:rStyle w:val="129"/>
                <w:rFonts w:hint="default" w:ascii="Times New Roman" w:hAnsi="Times New Roman" w:eastAsia="宋体" w:cs="Times New Roman"/>
                <w:color w:val="auto"/>
                <w:sz w:val="24"/>
                <w:szCs w:val="24"/>
                <w:lang w:bidi="ar"/>
              </w:rPr>
            </w:pPr>
            <w:r>
              <w:rPr>
                <w:rStyle w:val="129"/>
                <w:rFonts w:hint="default" w:ascii="Times New Roman" w:hAnsi="Times New Roman" w:eastAsia="宋体" w:cs="Times New Roman"/>
                <w:color w:val="auto"/>
                <w:sz w:val="24"/>
                <w:szCs w:val="24"/>
                <w:lang w:bidi="ar"/>
              </w:rPr>
              <w:t>18.2%</w:t>
            </w:r>
          </w:p>
        </w:tc>
        <w:tc>
          <w:tcPr>
            <w:tcW w:w="1069" w:type="pct"/>
            <w:tcBorders>
              <w:top w:val="single" w:color="000000" w:sz="8" w:space="0"/>
              <w:left w:val="dashSmallGap" w:color="000000" w:sz="4" w:space="0"/>
              <w:bottom w:val="dashSmallGap" w:color="auto" w:sz="4" w:space="0"/>
              <w:right w:val="nil"/>
            </w:tcBorders>
            <w:shd w:val="clear" w:color="auto" w:fill="auto"/>
            <w:noWrap/>
            <w:vAlign w:val="center"/>
          </w:tcPr>
          <w:p w14:paraId="437B2732">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color w:val="000000"/>
                <w:sz w:val="24"/>
                <w:szCs w:val="24"/>
              </w:rPr>
            </w:pPr>
            <w:r>
              <w:rPr>
                <w:rFonts w:hint="default" w:ascii="Times New Roman" w:hAnsi="Times New Roman" w:eastAsia="宋体" w:cs="Times New Roman"/>
                <w:color w:val="000000"/>
                <w:kern w:val="0"/>
                <w:sz w:val="24"/>
                <w:szCs w:val="24"/>
                <w:lang w:bidi="ar"/>
              </w:rPr>
              <w:t>48.5%</w:t>
            </w:r>
          </w:p>
        </w:tc>
      </w:tr>
      <w:tr w14:paraId="6153651C">
        <w:tblPrEx>
          <w:tblCellMar>
            <w:top w:w="0" w:type="dxa"/>
            <w:left w:w="108" w:type="dxa"/>
            <w:bottom w:w="0" w:type="dxa"/>
            <w:right w:w="108" w:type="dxa"/>
          </w:tblCellMar>
        </w:tblPrEx>
        <w:trPr>
          <w:trHeight w:val="500" w:hRule="atLeast"/>
        </w:trPr>
        <w:tc>
          <w:tcPr>
            <w:tcW w:w="1782" w:type="pct"/>
            <w:tcBorders>
              <w:top w:val="dashSmallGap" w:color="auto" w:sz="4" w:space="0"/>
              <w:left w:val="nil"/>
              <w:bottom w:val="dashSmallGap" w:color="auto" w:sz="4" w:space="0"/>
              <w:right w:val="dashSmallGap" w:color="000000" w:sz="4" w:space="0"/>
            </w:tcBorders>
            <w:shd w:val="clear" w:color="auto" w:fill="auto"/>
            <w:vAlign w:val="center"/>
          </w:tcPr>
          <w:p w14:paraId="74B0498B">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Style w:val="130"/>
                <w:rFonts w:hint="default" w:ascii="Times New Roman" w:hAnsi="Times New Roman" w:eastAsia="宋体" w:cs="Times New Roman"/>
                <w:color w:val="auto"/>
                <w:sz w:val="24"/>
                <w:szCs w:val="24"/>
                <w:lang w:bidi="ar"/>
              </w:rPr>
            </w:pPr>
            <w:r>
              <w:rPr>
                <w:rStyle w:val="130"/>
                <w:rFonts w:hint="default" w:ascii="Times New Roman" w:hAnsi="Times New Roman" w:eastAsia="宋体" w:cs="Times New Roman"/>
                <w:color w:val="auto"/>
                <w:sz w:val="24"/>
                <w:szCs w:val="24"/>
                <w:lang w:bidi="ar"/>
              </w:rPr>
              <w:t>碳源类药剂占化学药剂</w:t>
            </w:r>
          </w:p>
        </w:tc>
        <w:tc>
          <w:tcPr>
            <w:tcW w:w="1069" w:type="pct"/>
            <w:tcBorders>
              <w:top w:val="dashSmallGap" w:color="auto" w:sz="4" w:space="0"/>
              <w:left w:val="dashSmallGap" w:color="000000" w:sz="4" w:space="0"/>
              <w:bottom w:val="dashSmallGap" w:color="auto" w:sz="4" w:space="0"/>
              <w:right w:val="nil"/>
            </w:tcBorders>
            <w:shd w:val="clear" w:color="auto" w:fill="auto"/>
            <w:noWrap/>
            <w:vAlign w:val="center"/>
          </w:tcPr>
          <w:p w14:paraId="2A025A13">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rPr>
                <w:rStyle w:val="129"/>
                <w:rFonts w:hint="default" w:ascii="Times New Roman" w:hAnsi="Times New Roman" w:eastAsia="宋体" w:cs="Times New Roman"/>
                <w:color w:val="auto"/>
                <w:sz w:val="24"/>
                <w:szCs w:val="24"/>
                <w:lang w:bidi="ar"/>
              </w:rPr>
            </w:pPr>
            <w:r>
              <w:rPr>
                <w:rStyle w:val="129"/>
                <w:rFonts w:hint="default" w:ascii="Times New Roman" w:hAnsi="Times New Roman" w:eastAsia="宋体" w:cs="Times New Roman"/>
                <w:color w:val="auto"/>
                <w:sz w:val="24"/>
                <w:szCs w:val="24"/>
                <w:lang w:bidi="ar"/>
              </w:rPr>
              <w:t>47.9%</w:t>
            </w:r>
          </w:p>
        </w:tc>
        <w:tc>
          <w:tcPr>
            <w:tcW w:w="1069" w:type="pct"/>
            <w:tcBorders>
              <w:top w:val="dashSmallGap" w:color="auto" w:sz="4" w:space="0"/>
              <w:left w:val="dashSmallGap" w:color="000000" w:sz="4" w:space="0"/>
              <w:bottom w:val="dashSmallGap" w:color="auto" w:sz="4" w:space="0"/>
              <w:right w:val="nil"/>
            </w:tcBorders>
            <w:shd w:val="clear" w:color="auto" w:fill="auto"/>
            <w:noWrap/>
            <w:vAlign w:val="center"/>
          </w:tcPr>
          <w:p w14:paraId="3746590E">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rPr>
                <w:rStyle w:val="129"/>
                <w:rFonts w:hint="default" w:ascii="Times New Roman" w:hAnsi="Times New Roman" w:eastAsia="宋体" w:cs="Times New Roman"/>
                <w:color w:val="auto"/>
                <w:sz w:val="24"/>
                <w:szCs w:val="24"/>
                <w:lang w:bidi="ar"/>
              </w:rPr>
            </w:pPr>
            <w:r>
              <w:rPr>
                <w:rStyle w:val="129"/>
                <w:rFonts w:hint="default" w:ascii="Times New Roman" w:hAnsi="Times New Roman" w:eastAsia="宋体" w:cs="Times New Roman"/>
                <w:color w:val="auto"/>
                <w:sz w:val="24"/>
                <w:szCs w:val="24"/>
                <w:lang w:bidi="ar"/>
              </w:rPr>
              <w:t>25.9%</w:t>
            </w:r>
          </w:p>
        </w:tc>
        <w:tc>
          <w:tcPr>
            <w:tcW w:w="1069" w:type="pct"/>
            <w:tcBorders>
              <w:top w:val="dashSmallGap" w:color="auto" w:sz="4" w:space="0"/>
              <w:left w:val="dashSmallGap" w:color="000000" w:sz="4" w:space="0"/>
              <w:bottom w:val="dashSmallGap" w:color="auto" w:sz="4" w:space="0"/>
              <w:right w:val="nil"/>
            </w:tcBorders>
            <w:shd w:val="clear" w:color="auto" w:fill="auto"/>
            <w:noWrap/>
            <w:vAlign w:val="center"/>
          </w:tcPr>
          <w:p w14:paraId="20D332DF">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color w:val="FF0000"/>
                <w:sz w:val="24"/>
                <w:szCs w:val="24"/>
                <w:lang w:bidi="ar"/>
              </w:rPr>
            </w:pPr>
            <w:r>
              <w:rPr>
                <w:rFonts w:hint="default" w:ascii="Times New Roman" w:hAnsi="Times New Roman" w:eastAsia="宋体" w:cs="Times New Roman"/>
                <w:color w:val="000000"/>
                <w:kern w:val="0"/>
                <w:sz w:val="24"/>
                <w:szCs w:val="24"/>
                <w:lang w:bidi="ar"/>
              </w:rPr>
              <w:t>0.0%</w:t>
            </w:r>
          </w:p>
        </w:tc>
      </w:tr>
      <w:tr w14:paraId="2B3FB2FD">
        <w:tblPrEx>
          <w:tblCellMar>
            <w:top w:w="0" w:type="dxa"/>
            <w:left w:w="108" w:type="dxa"/>
            <w:bottom w:w="0" w:type="dxa"/>
            <w:right w:w="108" w:type="dxa"/>
          </w:tblCellMar>
        </w:tblPrEx>
        <w:trPr>
          <w:trHeight w:val="500" w:hRule="atLeast"/>
        </w:trPr>
        <w:tc>
          <w:tcPr>
            <w:tcW w:w="1782" w:type="pct"/>
            <w:tcBorders>
              <w:top w:val="dashSmallGap" w:color="auto" w:sz="4" w:space="0"/>
              <w:left w:val="nil"/>
              <w:bottom w:val="dashSmallGap" w:color="auto" w:sz="4" w:space="0"/>
              <w:right w:val="dashSmallGap" w:color="000000" w:sz="4" w:space="0"/>
            </w:tcBorders>
            <w:shd w:val="clear" w:color="auto" w:fill="auto"/>
            <w:vAlign w:val="center"/>
          </w:tcPr>
          <w:p w14:paraId="575AC3AE">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Style w:val="130"/>
                <w:rFonts w:hint="default" w:ascii="Times New Roman" w:hAnsi="Times New Roman" w:eastAsia="宋体" w:cs="Times New Roman"/>
                <w:color w:val="auto"/>
                <w:sz w:val="24"/>
                <w:szCs w:val="24"/>
                <w:lang w:bidi="ar"/>
              </w:rPr>
            </w:pPr>
            <w:r>
              <w:rPr>
                <w:rStyle w:val="130"/>
                <w:rFonts w:hint="default" w:ascii="Times New Roman" w:hAnsi="Times New Roman" w:eastAsia="宋体" w:cs="Times New Roman"/>
                <w:color w:val="auto"/>
                <w:sz w:val="24"/>
                <w:szCs w:val="24"/>
                <w:lang w:bidi="ar"/>
              </w:rPr>
              <w:t>化学除磷类药剂占化学药剂</w:t>
            </w:r>
          </w:p>
        </w:tc>
        <w:tc>
          <w:tcPr>
            <w:tcW w:w="1069" w:type="pct"/>
            <w:tcBorders>
              <w:top w:val="dashSmallGap" w:color="auto" w:sz="4" w:space="0"/>
              <w:left w:val="dashSmallGap" w:color="000000" w:sz="4" w:space="0"/>
              <w:bottom w:val="dashSmallGap" w:color="auto" w:sz="4" w:space="0"/>
              <w:right w:val="nil"/>
            </w:tcBorders>
            <w:shd w:val="clear" w:color="auto" w:fill="auto"/>
            <w:noWrap/>
            <w:vAlign w:val="center"/>
          </w:tcPr>
          <w:p w14:paraId="5011C240">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rPr>
                <w:rStyle w:val="129"/>
                <w:rFonts w:hint="default" w:ascii="Times New Roman" w:hAnsi="Times New Roman" w:eastAsia="宋体" w:cs="Times New Roman"/>
                <w:color w:val="auto"/>
                <w:sz w:val="24"/>
                <w:szCs w:val="24"/>
                <w:lang w:bidi="ar"/>
              </w:rPr>
            </w:pPr>
            <w:r>
              <w:rPr>
                <w:rStyle w:val="129"/>
                <w:rFonts w:hint="default" w:ascii="Times New Roman" w:hAnsi="Times New Roman" w:eastAsia="宋体" w:cs="Times New Roman"/>
                <w:color w:val="auto"/>
                <w:sz w:val="24"/>
                <w:szCs w:val="24"/>
                <w:lang w:bidi="ar"/>
              </w:rPr>
              <w:t>21.1%</w:t>
            </w:r>
          </w:p>
        </w:tc>
        <w:tc>
          <w:tcPr>
            <w:tcW w:w="1069" w:type="pct"/>
            <w:tcBorders>
              <w:top w:val="dashSmallGap" w:color="auto" w:sz="4" w:space="0"/>
              <w:left w:val="dashSmallGap" w:color="000000" w:sz="4" w:space="0"/>
              <w:bottom w:val="dashSmallGap" w:color="auto" w:sz="4" w:space="0"/>
              <w:right w:val="nil"/>
            </w:tcBorders>
            <w:shd w:val="clear" w:color="auto" w:fill="auto"/>
            <w:noWrap/>
            <w:vAlign w:val="center"/>
          </w:tcPr>
          <w:p w14:paraId="5455FB7F">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rPr>
                <w:rStyle w:val="129"/>
                <w:rFonts w:hint="default" w:ascii="Times New Roman" w:hAnsi="Times New Roman" w:eastAsia="宋体" w:cs="Times New Roman"/>
                <w:color w:val="auto"/>
                <w:sz w:val="24"/>
                <w:szCs w:val="24"/>
                <w:lang w:bidi="ar"/>
              </w:rPr>
            </w:pPr>
            <w:r>
              <w:rPr>
                <w:rStyle w:val="129"/>
                <w:rFonts w:hint="default" w:ascii="Times New Roman" w:hAnsi="Times New Roman" w:eastAsia="宋体" w:cs="Times New Roman"/>
                <w:color w:val="auto"/>
                <w:sz w:val="24"/>
                <w:szCs w:val="24"/>
                <w:lang w:bidi="ar"/>
              </w:rPr>
              <w:t>3.9%</w:t>
            </w:r>
          </w:p>
        </w:tc>
        <w:tc>
          <w:tcPr>
            <w:tcW w:w="1069" w:type="pct"/>
            <w:tcBorders>
              <w:top w:val="dashSmallGap" w:color="auto" w:sz="4" w:space="0"/>
              <w:left w:val="dashSmallGap" w:color="000000" w:sz="4" w:space="0"/>
              <w:bottom w:val="dashSmallGap" w:color="auto" w:sz="4" w:space="0"/>
              <w:right w:val="nil"/>
            </w:tcBorders>
            <w:shd w:val="clear" w:color="auto" w:fill="auto"/>
            <w:noWrap/>
            <w:vAlign w:val="center"/>
          </w:tcPr>
          <w:p w14:paraId="019E26B6">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color w:val="FF0000"/>
                <w:sz w:val="24"/>
                <w:szCs w:val="24"/>
                <w:lang w:bidi="ar"/>
              </w:rPr>
            </w:pPr>
            <w:r>
              <w:rPr>
                <w:rFonts w:hint="default" w:ascii="Times New Roman" w:hAnsi="Times New Roman" w:eastAsia="宋体" w:cs="Times New Roman"/>
                <w:color w:val="000000"/>
                <w:kern w:val="0"/>
                <w:sz w:val="24"/>
                <w:szCs w:val="24"/>
                <w:lang w:bidi="ar"/>
              </w:rPr>
              <w:t>30.7%</w:t>
            </w:r>
          </w:p>
        </w:tc>
      </w:tr>
      <w:tr w14:paraId="3C905FA2">
        <w:tblPrEx>
          <w:tblCellMar>
            <w:top w:w="0" w:type="dxa"/>
            <w:left w:w="108" w:type="dxa"/>
            <w:bottom w:w="0" w:type="dxa"/>
            <w:right w:w="108" w:type="dxa"/>
          </w:tblCellMar>
        </w:tblPrEx>
        <w:trPr>
          <w:trHeight w:val="500" w:hRule="atLeast"/>
        </w:trPr>
        <w:tc>
          <w:tcPr>
            <w:tcW w:w="1782" w:type="pct"/>
            <w:tcBorders>
              <w:top w:val="dashSmallGap" w:color="auto" w:sz="4" w:space="0"/>
              <w:left w:val="nil"/>
              <w:bottom w:val="dashSmallGap" w:color="auto" w:sz="4" w:space="0"/>
              <w:right w:val="dashSmallGap" w:color="000000" w:sz="4" w:space="0"/>
            </w:tcBorders>
            <w:shd w:val="clear" w:color="auto" w:fill="auto"/>
            <w:vAlign w:val="center"/>
          </w:tcPr>
          <w:p w14:paraId="45C26775">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Style w:val="130"/>
                <w:rFonts w:hint="default" w:ascii="Times New Roman" w:hAnsi="Times New Roman" w:eastAsia="宋体" w:cs="Times New Roman"/>
                <w:color w:val="auto"/>
                <w:sz w:val="24"/>
                <w:szCs w:val="24"/>
                <w:lang w:bidi="ar"/>
              </w:rPr>
            </w:pPr>
            <w:r>
              <w:rPr>
                <w:rStyle w:val="130"/>
                <w:rFonts w:hint="default" w:ascii="Times New Roman" w:hAnsi="Times New Roman" w:eastAsia="宋体" w:cs="Times New Roman"/>
                <w:color w:val="auto"/>
                <w:sz w:val="24"/>
                <w:szCs w:val="24"/>
                <w:lang w:bidi="ar"/>
              </w:rPr>
              <w:t>消毒类药剂占化学药剂</w:t>
            </w:r>
          </w:p>
        </w:tc>
        <w:tc>
          <w:tcPr>
            <w:tcW w:w="1069" w:type="pct"/>
            <w:tcBorders>
              <w:top w:val="dashSmallGap" w:color="auto" w:sz="4" w:space="0"/>
              <w:left w:val="dashSmallGap" w:color="000000" w:sz="4" w:space="0"/>
              <w:bottom w:val="dashSmallGap" w:color="auto" w:sz="4" w:space="0"/>
              <w:right w:val="nil"/>
            </w:tcBorders>
            <w:shd w:val="clear" w:color="auto" w:fill="auto"/>
            <w:noWrap/>
            <w:vAlign w:val="center"/>
          </w:tcPr>
          <w:p w14:paraId="4E07C6C9">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rPr>
                <w:rStyle w:val="129"/>
                <w:rFonts w:hint="default" w:ascii="Times New Roman" w:hAnsi="Times New Roman" w:eastAsia="宋体" w:cs="Times New Roman"/>
                <w:color w:val="auto"/>
                <w:sz w:val="24"/>
                <w:szCs w:val="24"/>
                <w:lang w:bidi="ar"/>
              </w:rPr>
            </w:pPr>
            <w:r>
              <w:rPr>
                <w:rStyle w:val="129"/>
                <w:rFonts w:hint="default" w:ascii="Times New Roman" w:hAnsi="Times New Roman" w:eastAsia="宋体" w:cs="Times New Roman"/>
                <w:color w:val="auto"/>
                <w:sz w:val="24"/>
                <w:szCs w:val="24"/>
                <w:lang w:bidi="ar"/>
              </w:rPr>
              <w:t>7.8%</w:t>
            </w:r>
          </w:p>
        </w:tc>
        <w:tc>
          <w:tcPr>
            <w:tcW w:w="1069" w:type="pct"/>
            <w:tcBorders>
              <w:top w:val="dashSmallGap" w:color="auto" w:sz="4" w:space="0"/>
              <w:left w:val="dashSmallGap" w:color="000000" w:sz="4" w:space="0"/>
              <w:bottom w:val="dashSmallGap" w:color="auto" w:sz="4" w:space="0"/>
              <w:right w:val="nil"/>
            </w:tcBorders>
            <w:shd w:val="clear" w:color="auto" w:fill="auto"/>
            <w:noWrap/>
            <w:vAlign w:val="center"/>
          </w:tcPr>
          <w:p w14:paraId="1B61F5EC">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rPr>
                <w:rStyle w:val="129"/>
                <w:rFonts w:hint="default" w:ascii="Times New Roman" w:hAnsi="Times New Roman" w:eastAsia="宋体" w:cs="Times New Roman"/>
                <w:color w:val="auto"/>
                <w:sz w:val="24"/>
                <w:szCs w:val="24"/>
                <w:lang w:bidi="ar"/>
              </w:rPr>
            </w:pPr>
            <w:r>
              <w:rPr>
                <w:rStyle w:val="129"/>
                <w:rFonts w:hint="default" w:ascii="Times New Roman" w:hAnsi="Times New Roman" w:eastAsia="宋体" w:cs="Times New Roman"/>
                <w:color w:val="auto"/>
                <w:sz w:val="24"/>
                <w:szCs w:val="24"/>
                <w:lang w:bidi="ar"/>
              </w:rPr>
              <w:t>50.0%</w:t>
            </w:r>
          </w:p>
        </w:tc>
        <w:tc>
          <w:tcPr>
            <w:tcW w:w="1069" w:type="pct"/>
            <w:tcBorders>
              <w:top w:val="dashSmallGap" w:color="auto" w:sz="4" w:space="0"/>
              <w:left w:val="dashSmallGap" w:color="000000" w:sz="4" w:space="0"/>
              <w:bottom w:val="dashSmallGap" w:color="auto" w:sz="4" w:space="0"/>
              <w:right w:val="nil"/>
            </w:tcBorders>
            <w:shd w:val="clear" w:color="auto" w:fill="auto"/>
            <w:noWrap/>
            <w:vAlign w:val="center"/>
          </w:tcPr>
          <w:p w14:paraId="18241D9A">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color w:val="FF0000"/>
                <w:sz w:val="24"/>
                <w:szCs w:val="24"/>
                <w:lang w:bidi="ar"/>
              </w:rPr>
            </w:pPr>
            <w:r>
              <w:rPr>
                <w:rFonts w:hint="default" w:ascii="Times New Roman" w:hAnsi="Times New Roman" w:eastAsia="宋体" w:cs="Times New Roman"/>
                <w:color w:val="000000"/>
                <w:kern w:val="0"/>
                <w:sz w:val="24"/>
                <w:szCs w:val="24"/>
                <w:lang w:bidi="ar"/>
              </w:rPr>
              <w:t>36.8%</w:t>
            </w:r>
          </w:p>
        </w:tc>
      </w:tr>
      <w:tr w14:paraId="6887A6DD">
        <w:tblPrEx>
          <w:tblCellMar>
            <w:top w:w="0" w:type="dxa"/>
            <w:left w:w="108" w:type="dxa"/>
            <w:bottom w:w="0" w:type="dxa"/>
            <w:right w:w="108" w:type="dxa"/>
          </w:tblCellMar>
        </w:tblPrEx>
        <w:trPr>
          <w:trHeight w:val="500" w:hRule="atLeast"/>
        </w:trPr>
        <w:tc>
          <w:tcPr>
            <w:tcW w:w="1782" w:type="pct"/>
            <w:tcBorders>
              <w:top w:val="dashSmallGap" w:color="auto" w:sz="4" w:space="0"/>
              <w:left w:val="nil"/>
              <w:bottom w:val="dashSmallGap" w:color="auto" w:sz="4" w:space="0"/>
              <w:right w:val="dashSmallGap" w:color="000000" w:sz="4" w:space="0"/>
            </w:tcBorders>
            <w:shd w:val="clear" w:color="auto" w:fill="auto"/>
            <w:vAlign w:val="center"/>
          </w:tcPr>
          <w:p w14:paraId="09B196A8">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Style w:val="130"/>
                <w:rFonts w:hint="default" w:ascii="Times New Roman" w:hAnsi="Times New Roman" w:eastAsia="宋体" w:cs="Times New Roman"/>
                <w:color w:val="auto"/>
                <w:sz w:val="24"/>
                <w:szCs w:val="24"/>
                <w:lang w:bidi="ar"/>
              </w:rPr>
            </w:pPr>
            <w:r>
              <w:rPr>
                <w:rStyle w:val="130"/>
                <w:rFonts w:hint="default" w:ascii="Times New Roman" w:hAnsi="Times New Roman" w:eastAsia="宋体" w:cs="Times New Roman"/>
                <w:color w:val="auto"/>
                <w:sz w:val="24"/>
                <w:szCs w:val="24"/>
                <w:lang w:bidi="ar"/>
              </w:rPr>
              <w:t>脱水类药剂占化学药剂</w:t>
            </w:r>
          </w:p>
        </w:tc>
        <w:tc>
          <w:tcPr>
            <w:tcW w:w="1069" w:type="pct"/>
            <w:tcBorders>
              <w:top w:val="dashSmallGap" w:color="auto" w:sz="4" w:space="0"/>
              <w:left w:val="dashSmallGap" w:color="000000" w:sz="4" w:space="0"/>
              <w:bottom w:val="dashSmallGap" w:color="auto" w:sz="4" w:space="0"/>
              <w:right w:val="nil"/>
            </w:tcBorders>
            <w:shd w:val="clear" w:color="auto" w:fill="auto"/>
            <w:noWrap/>
            <w:vAlign w:val="center"/>
          </w:tcPr>
          <w:p w14:paraId="7CED6579">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rPr>
                <w:rStyle w:val="129"/>
                <w:rFonts w:hint="default" w:ascii="Times New Roman" w:hAnsi="Times New Roman" w:eastAsia="宋体" w:cs="Times New Roman"/>
                <w:color w:val="auto"/>
                <w:sz w:val="24"/>
                <w:szCs w:val="24"/>
                <w:lang w:bidi="ar"/>
              </w:rPr>
            </w:pPr>
            <w:r>
              <w:rPr>
                <w:rStyle w:val="129"/>
                <w:rFonts w:hint="default" w:ascii="Times New Roman" w:hAnsi="Times New Roman" w:eastAsia="宋体" w:cs="Times New Roman"/>
                <w:color w:val="auto"/>
                <w:sz w:val="24"/>
                <w:szCs w:val="24"/>
                <w:lang w:bidi="ar"/>
              </w:rPr>
              <w:t>16.2%</w:t>
            </w:r>
          </w:p>
        </w:tc>
        <w:tc>
          <w:tcPr>
            <w:tcW w:w="1069" w:type="pct"/>
            <w:tcBorders>
              <w:top w:val="dashSmallGap" w:color="auto" w:sz="4" w:space="0"/>
              <w:left w:val="dashSmallGap" w:color="000000" w:sz="4" w:space="0"/>
              <w:bottom w:val="dashSmallGap" w:color="auto" w:sz="4" w:space="0"/>
              <w:right w:val="nil"/>
            </w:tcBorders>
            <w:shd w:val="clear" w:color="auto" w:fill="auto"/>
            <w:noWrap/>
            <w:vAlign w:val="center"/>
          </w:tcPr>
          <w:p w14:paraId="3A5AC6DF">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rPr>
                <w:rStyle w:val="129"/>
                <w:rFonts w:hint="default" w:ascii="Times New Roman" w:hAnsi="Times New Roman" w:eastAsia="宋体" w:cs="Times New Roman"/>
                <w:color w:val="auto"/>
                <w:sz w:val="24"/>
                <w:szCs w:val="24"/>
                <w:lang w:bidi="ar"/>
              </w:rPr>
            </w:pPr>
            <w:r>
              <w:rPr>
                <w:rStyle w:val="129"/>
                <w:rFonts w:hint="default" w:ascii="Times New Roman" w:hAnsi="Times New Roman" w:eastAsia="宋体" w:cs="Times New Roman"/>
                <w:color w:val="auto"/>
                <w:sz w:val="24"/>
                <w:szCs w:val="24"/>
                <w:lang w:bidi="ar"/>
              </w:rPr>
              <w:t>1.4%</w:t>
            </w:r>
          </w:p>
        </w:tc>
        <w:tc>
          <w:tcPr>
            <w:tcW w:w="1069" w:type="pct"/>
            <w:tcBorders>
              <w:top w:val="dashSmallGap" w:color="auto" w:sz="4" w:space="0"/>
              <w:left w:val="dashSmallGap" w:color="000000" w:sz="4" w:space="0"/>
              <w:bottom w:val="dashSmallGap" w:color="auto" w:sz="4" w:space="0"/>
              <w:right w:val="nil"/>
            </w:tcBorders>
            <w:shd w:val="clear" w:color="auto" w:fill="auto"/>
            <w:noWrap/>
            <w:vAlign w:val="center"/>
          </w:tcPr>
          <w:p w14:paraId="478C32DA">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color w:val="FF0000"/>
                <w:sz w:val="24"/>
                <w:szCs w:val="24"/>
                <w:lang w:bidi="ar"/>
              </w:rPr>
            </w:pPr>
            <w:r>
              <w:rPr>
                <w:rFonts w:hint="default" w:ascii="Times New Roman" w:hAnsi="Times New Roman" w:eastAsia="宋体" w:cs="Times New Roman"/>
                <w:color w:val="000000"/>
                <w:kern w:val="0"/>
                <w:sz w:val="24"/>
                <w:szCs w:val="24"/>
                <w:lang w:bidi="ar"/>
              </w:rPr>
              <w:t>22.8%</w:t>
            </w:r>
          </w:p>
        </w:tc>
      </w:tr>
      <w:tr w14:paraId="35171F89">
        <w:tblPrEx>
          <w:tblCellMar>
            <w:top w:w="0" w:type="dxa"/>
            <w:left w:w="108" w:type="dxa"/>
            <w:bottom w:w="0" w:type="dxa"/>
            <w:right w:w="108" w:type="dxa"/>
          </w:tblCellMar>
        </w:tblPrEx>
        <w:trPr>
          <w:trHeight w:val="500" w:hRule="atLeast"/>
        </w:trPr>
        <w:tc>
          <w:tcPr>
            <w:tcW w:w="1782" w:type="pct"/>
            <w:tcBorders>
              <w:top w:val="dashSmallGap" w:color="auto" w:sz="4" w:space="0"/>
              <w:left w:val="nil"/>
              <w:bottom w:val="single" w:color="000000" w:sz="8" w:space="0"/>
              <w:right w:val="dashSmallGap" w:color="000000" w:sz="4" w:space="0"/>
            </w:tcBorders>
            <w:shd w:val="clear" w:color="auto" w:fill="auto"/>
            <w:vAlign w:val="center"/>
          </w:tcPr>
          <w:p w14:paraId="37196C0A">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Style w:val="130"/>
                <w:rFonts w:hint="default" w:ascii="Times New Roman" w:hAnsi="Times New Roman" w:eastAsia="宋体" w:cs="Times New Roman"/>
                <w:color w:val="auto"/>
                <w:sz w:val="24"/>
                <w:szCs w:val="24"/>
                <w:lang w:bidi="ar"/>
              </w:rPr>
            </w:pPr>
            <w:r>
              <w:rPr>
                <w:rStyle w:val="130"/>
                <w:rFonts w:hint="default" w:ascii="Times New Roman" w:hAnsi="Times New Roman" w:eastAsia="宋体" w:cs="Times New Roman"/>
                <w:color w:val="auto"/>
                <w:sz w:val="24"/>
                <w:szCs w:val="24"/>
                <w:lang w:bidi="ar"/>
              </w:rPr>
              <w:t>其他药剂占化学药剂</w:t>
            </w:r>
          </w:p>
        </w:tc>
        <w:tc>
          <w:tcPr>
            <w:tcW w:w="1069" w:type="pct"/>
            <w:tcBorders>
              <w:top w:val="dashSmallGap" w:color="auto" w:sz="4" w:space="0"/>
              <w:left w:val="dashSmallGap" w:color="000000" w:sz="4" w:space="0"/>
              <w:bottom w:val="single" w:color="000000" w:sz="8" w:space="0"/>
              <w:right w:val="nil"/>
            </w:tcBorders>
            <w:shd w:val="clear" w:color="auto" w:fill="auto"/>
            <w:noWrap/>
            <w:vAlign w:val="center"/>
          </w:tcPr>
          <w:p w14:paraId="655289DB">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rPr>
                <w:rStyle w:val="129"/>
                <w:rFonts w:hint="default" w:ascii="Times New Roman" w:hAnsi="Times New Roman" w:eastAsia="宋体" w:cs="Times New Roman"/>
                <w:color w:val="auto"/>
                <w:sz w:val="24"/>
                <w:szCs w:val="24"/>
                <w:lang w:bidi="ar"/>
              </w:rPr>
            </w:pPr>
            <w:r>
              <w:rPr>
                <w:rStyle w:val="129"/>
                <w:rFonts w:hint="default" w:ascii="Times New Roman" w:hAnsi="Times New Roman" w:eastAsia="宋体" w:cs="Times New Roman"/>
                <w:color w:val="auto"/>
                <w:sz w:val="24"/>
                <w:szCs w:val="24"/>
                <w:lang w:bidi="ar"/>
              </w:rPr>
              <w:t>7.0%</w:t>
            </w:r>
          </w:p>
        </w:tc>
        <w:tc>
          <w:tcPr>
            <w:tcW w:w="1069" w:type="pct"/>
            <w:tcBorders>
              <w:top w:val="dashSmallGap" w:color="auto" w:sz="4" w:space="0"/>
              <w:left w:val="dashSmallGap" w:color="000000" w:sz="4" w:space="0"/>
              <w:bottom w:val="single" w:color="000000" w:sz="8" w:space="0"/>
              <w:right w:val="nil"/>
            </w:tcBorders>
            <w:shd w:val="clear" w:color="auto" w:fill="auto"/>
            <w:noWrap/>
            <w:vAlign w:val="center"/>
          </w:tcPr>
          <w:p w14:paraId="2A7F88AD">
            <w:pPr>
              <w:keepNext w:val="0"/>
              <w:keepLines w:val="0"/>
              <w:pageBreakBefore w:val="0"/>
              <w:suppressLineNumbers w:val="0"/>
              <w:kinsoku/>
              <w:wordWrap/>
              <w:overflowPunct/>
              <w:topLinePunct w:val="0"/>
              <w:autoSpaceDE/>
              <w:autoSpaceDN/>
              <w:bidi w:val="0"/>
              <w:adjustRightInd/>
              <w:snapToGrid/>
              <w:spacing w:before="0" w:after="0" w:line="240" w:lineRule="auto"/>
              <w:ind w:left="0" w:right="0" w:firstLine="0" w:firstLineChars="0"/>
              <w:jc w:val="center"/>
              <w:rPr>
                <w:rStyle w:val="129"/>
                <w:rFonts w:hint="default" w:ascii="Times New Roman" w:hAnsi="Times New Roman" w:eastAsia="宋体" w:cs="Times New Roman"/>
                <w:color w:val="auto"/>
                <w:sz w:val="24"/>
                <w:szCs w:val="24"/>
                <w:lang w:bidi="ar"/>
              </w:rPr>
            </w:pPr>
            <w:r>
              <w:rPr>
                <w:rStyle w:val="129"/>
                <w:rFonts w:hint="default" w:ascii="Times New Roman" w:hAnsi="Times New Roman" w:eastAsia="宋体" w:cs="Times New Roman"/>
                <w:color w:val="auto"/>
                <w:sz w:val="24"/>
                <w:szCs w:val="24"/>
                <w:lang w:bidi="ar"/>
              </w:rPr>
              <w:t>13.8%</w:t>
            </w:r>
          </w:p>
        </w:tc>
        <w:tc>
          <w:tcPr>
            <w:tcW w:w="1069" w:type="pct"/>
            <w:tcBorders>
              <w:top w:val="dashSmallGap" w:color="auto" w:sz="4" w:space="0"/>
              <w:left w:val="dashSmallGap" w:color="000000" w:sz="4" w:space="0"/>
              <w:bottom w:val="single" w:color="000000" w:sz="8" w:space="0"/>
              <w:right w:val="nil"/>
            </w:tcBorders>
            <w:shd w:val="clear" w:color="auto" w:fill="auto"/>
            <w:noWrap/>
            <w:vAlign w:val="center"/>
          </w:tcPr>
          <w:p w14:paraId="79AB20D2">
            <w:pPr>
              <w:keepNext w:val="0"/>
              <w:keepLines w:val="0"/>
              <w:pageBreakBefore w:val="0"/>
              <w:widowControl/>
              <w:suppressLineNumbers w:val="0"/>
              <w:kinsoku/>
              <w:wordWrap/>
              <w:overflowPunct/>
              <w:topLinePunct w:val="0"/>
              <w:autoSpaceDE/>
              <w:autoSpaceDN/>
              <w:bidi w:val="0"/>
              <w:adjustRightInd/>
              <w:snapToGrid/>
              <w:spacing w:before="0" w:after="0" w:line="240" w:lineRule="auto"/>
              <w:ind w:left="0" w:right="0" w:firstLine="0" w:firstLineChars="0"/>
              <w:jc w:val="center"/>
              <w:textAlignment w:val="center"/>
              <w:rPr>
                <w:rFonts w:hint="default" w:ascii="Times New Roman" w:hAnsi="Times New Roman" w:eastAsia="宋体" w:cs="Times New Roman"/>
                <w:color w:val="FF0000"/>
                <w:sz w:val="24"/>
                <w:szCs w:val="24"/>
                <w:lang w:bidi="ar"/>
              </w:rPr>
            </w:pPr>
            <w:r>
              <w:rPr>
                <w:rFonts w:hint="default" w:ascii="Times New Roman" w:hAnsi="Times New Roman" w:eastAsia="宋体" w:cs="Times New Roman"/>
                <w:color w:val="000000"/>
                <w:kern w:val="0"/>
                <w:sz w:val="24"/>
                <w:szCs w:val="24"/>
                <w:lang w:bidi="ar"/>
              </w:rPr>
              <w:t>9.7%</w:t>
            </w:r>
          </w:p>
        </w:tc>
      </w:tr>
    </w:tbl>
    <w:p w14:paraId="180BA699">
      <w:pPr>
        <w:bidi w:val="0"/>
      </w:pPr>
      <w:r>
        <w:rPr>
          <w:rFonts w:hint="eastAsia"/>
          <w:lang w:val="en-US" w:eastAsia="zh-CN"/>
        </w:rPr>
        <w:t>可见，</w:t>
      </w:r>
      <w:r>
        <w:rPr>
          <w:rFonts w:hint="eastAsia"/>
        </w:rPr>
        <w:t>使用化学药剂产生的间接排放量是污水污泥处理过程不可忽视的组成部分，水务企业在开展温室气体控排工作中应予统筹考虑</w:t>
      </w:r>
      <w:r>
        <w:rPr>
          <w:rFonts w:hint="eastAsia"/>
          <w:lang w:eastAsia="zh-CN"/>
        </w:rPr>
        <w:t>，</w:t>
      </w:r>
      <w:r>
        <w:rPr>
          <w:rFonts w:hint="eastAsia"/>
          <w:lang w:val="en-US" w:eastAsia="zh-CN"/>
        </w:rPr>
        <w:t>并在标准附表B.2中选择性报送</w:t>
      </w:r>
      <w:r>
        <w:rPr>
          <w:rFonts w:hint="eastAsia"/>
        </w:rPr>
        <w:t>。</w:t>
      </w:r>
    </w:p>
    <w:p w14:paraId="7D061CCB">
      <w:pPr>
        <w:bidi w:val="0"/>
        <w:sectPr>
          <w:pgSz w:w="11906" w:h="16838"/>
          <w:pgMar w:top="1440" w:right="1797" w:bottom="1440" w:left="1797" w:header="851" w:footer="567" w:gutter="0"/>
          <w:cols w:space="0" w:num="1"/>
          <w:rtlGutter w:val="0"/>
          <w:docGrid w:type="lines" w:linePitch="395" w:charSpace="0"/>
        </w:sectPr>
      </w:pPr>
      <w:r>
        <w:rPr>
          <w:rFonts w:hint="eastAsia"/>
        </w:rPr>
        <w:t>标准编制组分析了国内主要水务企业药剂使用构成，提出主要化学药剂品类，并检索汇总药剂排放因子。污水处理企业可参考本标准核算方法及因子数据进行试算及控排管理。</w:t>
      </w:r>
    </w:p>
    <w:p w14:paraId="11D9A4DB">
      <w:pPr>
        <w:pStyle w:val="106"/>
        <w:numPr>
          <w:ilvl w:val="0"/>
          <w:numId w:val="0"/>
        </w:numPr>
        <w:bidi w:val="0"/>
        <w:ind w:leftChars="0"/>
        <w:jc w:val="center"/>
        <w:rPr>
          <w:rFonts w:hint="eastAsia"/>
        </w:rPr>
      </w:pPr>
      <w:bookmarkStart w:id="77" w:name="_Toc16314"/>
      <w:r>
        <w:rPr>
          <w:rFonts w:hint="eastAsia"/>
        </w:rPr>
        <w:t>参考文献</w:t>
      </w:r>
      <w:bookmarkEnd w:id="77"/>
    </w:p>
    <w:p w14:paraId="2624D5CE">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left="420" w:hanging="420" w:hangingChars="200"/>
        <w:textAlignment w:val="auto"/>
        <w:rPr>
          <w:rFonts w:hint="eastAsia"/>
          <w:sz w:val="21"/>
          <w:szCs w:val="21"/>
        </w:rPr>
      </w:pPr>
      <w:r>
        <w:rPr>
          <w:rFonts w:hint="eastAsia"/>
          <w:sz w:val="21"/>
          <w:szCs w:val="21"/>
        </w:rPr>
        <w:t>中国环境保护产业协会. T/CAEPI49 污水处理厂低碳运行评价技术规范[EB/OL].</w:t>
      </w:r>
    </w:p>
    <w:p w14:paraId="349B7CE0">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left="420" w:hanging="420" w:hangingChars="200"/>
        <w:textAlignment w:val="auto"/>
        <w:rPr>
          <w:rFonts w:hint="eastAsia"/>
          <w:sz w:val="21"/>
          <w:szCs w:val="21"/>
        </w:rPr>
      </w:pPr>
      <w:r>
        <w:rPr>
          <w:rFonts w:hint="eastAsia"/>
          <w:sz w:val="21"/>
          <w:szCs w:val="21"/>
        </w:rPr>
        <w:t xml:space="preserve">哈尔滨工业大学、龙江环保集团股份有限公司. 城镇污水处理厂碳减排评估标准[EB/OL]. [2025-02-02]. </w:t>
      </w:r>
    </w:p>
    <w:p w14:paraId="7BEFE517">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left="420" w:hanging="420" w:hangingChars="200"/>
        <w:textAlignment w:val="auto"/>
        <w:rPr>
          <w:rFonts w:hint="eastAsia"/>
          <w:sz w:val="21"/>
          <w:szCs w:val="21"/>
        </w:rPr>
      </w:pPr>
      <w:r>
        <w:rPr>
          <w:rFonts w:hint="eastAsia"/>
          <w:sz w:val="21"/>
          <w:szCs w:val="21"/>
        </w:rPr>
        <w:t xml:space="preserve">中国城市温室气体工作组. 中国产品全生命周期温室气体排放系数库（CPCD）[EB/OL]. [2025-02-02]. </w:t>
      </w:r>
    </w:p>
    <w:p w14:paraId="70C2F077">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left="420" w:hanging="420" w:hangingChars="200"/>
        <w:textAlignment w:val="auto"/>
        <w:rPr>
          <w:rFonts w:hint="eastAsia"/>
          <w:sz w:val="21"/>
          <w:szCs w:val="21"/>
        </w:rPr>
      </w:pPr>
      <w:r>
        <w:rPr>
          <w:rFonts w:hint="eastAsia"/>
          <w:sz w:val="21"/>
          <w:szCs w:val="21"/>
        </w:rPr>
        <w:t>Wernet G, Bauer C, Steubing B, et al. The ecoinvent database version 3 (part I): overview and methodology[J]. The International Journal of Life Cycle Assessment, 2016, 21(9): 1218-1230.</w:t>
      </w:r>
    </w:p>
    <w:p w14:paraId="0A8CA356">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left="420" w:hanging="420" w:hangingChars="200"/>
        <w:textAlignment w:val="auto"/>
        <w:rPr>
          <w:rFonts w:hint="eastAsia"/>
          <w:sz w:val="21"/>
          <w:szCs w:val="21"/>
        </w:rPr>
      </w:pPr>
      <w:r>
        <w:rPr>
          <w:rFonts w:hint="eastAsia"/>
          <w:sz w:val="21"/>
          <w:szCs w:val="21"/>
        </w:rPr>
        <w:t xml:space="preserve">PRé Sustainability. Introduction to LCA with SimaPro[EB/OL]. [2025-02-02]. </w:t>
      </w:r>
      <w:r>
        <w:rPr>
          <w:rFonts w:hint="eastAsia"/>
          <w:sz w:val="21"/>
          <w:szCs w:val="21"/>
        </w:rPr>
        <w:fldChar w:fldCharType="begin"/>
      </w:r>
      <w:r>
        <w:rPr>
          <w:rFonts w:hint="eastAsia"/>
          <w:sz w:val="21"/>
          <w:szCs w:val="21"/>
        </w:rPr>
        <w:instrText xml:space="preserve"> HYPERLINK "https://pre-sustainability.com/files/2014/05/SimaPro8IntroductionToLCA.pdf" </w:instrText>
      </w:r>
      <w:r>
        <w:rPr>
          <w:rFonts w:hint="eastAsia"/>
          <w:sz w:val="21"/>
          <w:szCs w:val="21"/>
        </w:rPr>
        <w:fldChar w:fldCharType="separate"/>
      </w:r>
      <w:r>
        <w:rPr>
          <w:rFonts w:hint="eastAsia"/>
          <w:sz w:val="21"/>
          <w:szCs w:val="21"/>
        </w:rPr>
        <w:t>https://pre-sustainability.com/files/2014/05/SimaPro8IntroductionToLCA.pdf</w:t>
      </w:r>
      <w:r>
        <w:rPr>
          <w:rFonts w:hint="eastAsia"/>
          <w:sz w:val="21"/>
          <w:szCs w:val="21"/>
        </w:rPr>
        <w:fldChar w:fldCharType="end"/>
      </w:r>
      <w:r>
        <w:rPr>
          <w:rFonts w:hint="eastAsia"/>
          <w:sz w:val="21"/>
          <w:szCs w:val="21"/>
        </w:rPr>
        <w:t>.</w:t>
      </w:r>
    </w:p>
    <w:p w14:paraId="07C0B044">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left="420" w:hanging="420" w:hangingChars="200"/>
        <w:textAlignment w:val="auto"/>
        <w:rPr>
          <w:rFonts w:hint="eastAsia"/>
          <w:sz w:val="21"/>
          <w:szCs w:val="21"/>
        </w:rPr>
      </w:pPr>
      <w:r>
        <w:rPr>
          <w:rFonts w:hint="eastAsia"/>
          <w:sz w:val="21"/>
          <w:szCs w:val="21"/>
        </w:rPr>
        <w:t xml:space="preserve">INCOPA. Life Cycle Analysis of Leading Coagulants: Executive Summary[EB/OL]. [2025-02-02]. </w:t>
      </w:r>
    </w:p>
    <w:p w14:paraId="6152AFD5">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left="420" w:hanging="420" w:hangingChars="200"/>
        <w:textAlignment w:val="auto"/>
        <w:rPr>
          <w:rFonts w:hint="eastAsia"/>
          <w:sz w:val="21"/>
          <w:szCs w:val="21"/>
        </w:rPr>
      </w:pPr>
      <w:r>
        <w:rPr>
          <w:rFonts w:hint="eastAsia"/>
          <w:sz w:val="21"/>
          <w:szCs w:val="21"/>
        </w:rPr>
        <w:t xml:space="preserve">中国环境科学研究院、环境保护部环境与经济政策研究中心. 城镇污水处理厂污染物去除量协同控制温室气体核算技术指南（试行）[EB/OL]. [2025-02-02]. </w:t>
      </w:r>
      <w:r>
        <w:rPr>
          <w:rFonts w:hint="eastAsia"/>
          <w:sz w:val="21"/>
          <w:szCs w:val="21"/>
        </w:rPr>
        <w:fldChar w:fldCharType="begin"/>
      </w:r>
      <w:r>
        <w:rPr>
          <w:rFonts w:hint="eastAsia"/>
          <w:sz w:val="21"/>
          <w:szCs w:val="21"/>
        </w:rPr>
        <w:instrText xml:space="preserve"> HYPERLINK "https://www.mee.gov.cn/xxgk2018/xxgk/xxgk06/201804/W020230209535120797073.pdf" </w:instrText>
      </w:r>
      <w:r>
        <w:rPr>
          <w:rFonts w:hint="eastAsia"/>
          <w:sz w:val="21"/>
          <w:szCs w:val="21"/>
        </w:rPr>
        <w:fldChar w:fldCharType="separate"/>
      </w:r>
      <w:r>
        <w:rPr>
          <w:rFonts w:hint="eastAsia"/>
          <w:sz w:val="21"/>
          <w:szCs w:val="21"/>
        </w:rPr>
        <w:t>https://www.mee.gov.cn/xxgk2018/xxgk/xxgk06/201804/W020230209535120797073.pdf</w:t>
      </w:r>
      <w:r>
        <w:rPr>
          <w:rFonts w:hint="eastAsia"/>
          <w:sz w:val="21"/>
          <w:szCs w:val="21"/>
        </w:rPr>
        <w:fldChar w:fldCharType="end"/>
      </w:r>
      <w:r>
        <w:rPr>
          <w:rFonts w:hint="eastAsia"/>
          <w:sz w:val="21"/>
          <w:szCs w:val="21"/>
        </w:rPr>
        <w:t>.</w:t>
      </w:r>
    </w:p>
    <w:p w14:paraId="2716BE1C">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left="420" w:hanging="420" w:hangingChars="200"/>
        <w:textAlignment w:val="auto"/>
        <w:rPr>
          <w:rFonts w:hint="eastAsia"/>
          <w:sz w:val="21"/>
          <w:szCs w:val="21"/>
        </w:rPr>
      </w:pPr>
      <w:r>
        <w:rPr>
          <w:rFonts w:hint="eastAsia"/>
          <w:sz w:val="21"/>
          <w:szCs w:val="21"/>
        </w:rPr>
        <w:t xml:space="preserve">上海市排水行业协会. 上海城镇污水处理厂温室气体排放核算指南[EB/OL]. [2025-02-02]. </w:t>
      </w:r>
      <w:r>
        <w:rPr>
          <w:rFonts w:hint="eastAsia"/>
          <w:sz w:val="21"/>
          <w:szCs w:val="21"/>
        </w:rPr>
        <w:fldChar w:fldCharType="begin"/>
      </w:r>
      <w:r>
        <w:rPr>
          <w:rFonts w:hint="eastAsia"/>
          <w:sz w:val="21"/>
          <w:szCs w:val="21"/>
        </w:rPr>
        <w:instrText xml:space="preserve"> HYPERLINK "https://www.cssn.net.cn/cssn/productDetail/a99aac8f03d04ae83c7d7223f9103a4c" </w:instrText>
      </w:r>
      <w:r>
        <w:rPr>
          <w:rFonts w:hint="eastAsia"/>
          <w:sz w:val="21"/>
          <w:szCs w:val="21"/>
        </w:rPr>
        <w:fldChar w:fldCharType="separate"/>
      </w:r>
      <w:r>
        <w:rPr>
          <w:rFonts w:hint="eastAsia"/>
          <w:sz w:val="21"/>
          <w:szCs w:val="21"/>
        </w:rPr>
        <w:t>https://www.cssn.net.cn/cssn/productDetail/a99aac8f03d04ae83c7d7223f9103a4c</w:t>
      </w:r>
      <w:r>
        <w:rPr>
          <w:rFonts w:hint="eastAsia"/>
          <w:sz w:val="21"/>
          <w:szCs w:val="21"/>
        </w:rPr>
        <w:fldChar w:fldCharType="end"/>
      </w:r>
      <w:r>
        <w:rPr>
          <w:rFonts w:hint="eastAsia"/>
          <w:sz w:val="21"/>
          <w:szCs w:val="21"/>
        </w:rPr>
        <w:t>.</w:t>
      </w:r>
    </w:p>
    <w:p w14:paraId="499256CE">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left="420" w:hanging="420" w:hangingChars="200"/>
        <w:textAlignment w:val="auto"/>
        <w:rPr>
          <w:rFonts w:hint="eastAsia"/>
          <w:sz w:val="21"/>
          <w:szCs w:val="21"/>
        </w:rPr>
      </w:pPr>
      <w:r>
        <w:rPr>
          <w:rFonts w:hint="eastAsia"/>
          <w:sz w:val="21"/>
          <w:szCs w:val="21"/>
        </w:rPr>
        <w:t>I</w:t>
      </w:r>
      <w:r>
        <w:rPr>
          <w:rFonts w:hint="eastAsia"/>
          <w:sz w:val="21"/>
          <w:szCs w:val="21"/>
          <w:lang w:val="en-US" w:eastAsia="zh-CN"/>
        </w:rPr>
        <w:t>PCC</w:t>
      </w:r>
      <w:r>
        <w:rPr>
          <w:rFonts w:hint="eastAsia"/>
          <w:sz w:val="21"/>
          <w:szCs w:val="21"/>
        </w:rPr>
        <w:t>. 《2006年IPCC国家温室气体清单指南》(2006 IPCC Guidelines for National Greenhouse Gas Inventories)[R]. Japan: IPCC, 2006.</w:t>
      </w:r>
    </w:p>
    <w:p w14:paraId="06F18647">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left="420" w:hanging="420" w:hangingChars="200"/>
        <w:textAlignment w:val="auto"/>
        <w:rPr>
          <w:rFonts w:hint="eastAsia"/>
          <w:sz w:val="21"/>
          <w:szCs w:val="21"/>
        </w:rPr>
      </w:pPr>
      <w:r>
        <w:rPr>
          <w:rFonts w:hint="eastAsia"/>
          <w:sz w:val="21"/>
          <w:szCs w:val="21"/>
        </w:rPr>
        <w:t>中国城镇供水排水协会. 城镇水务系统碳核算与减排路径技术指南[M]. 北京: 中国建筑工业出版社, 2022.</w:t>
      </w:r>
    </w:p>
    <w:p w14:paraId="781C2DEA">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left="420" w:hanging="420" w:hangingChars="200"/>
        <w:textAlignment w:val="auto"/>
        <w:rPr>
          <w:sz w:val="21"/>
          <w:szCs w:val="21"/>
        </w:rPr>
      </w:pPr>
      <w:r>
        <w:rPr>
          <w:rFonts w:hint="eastAsia"/>
          <w:sz w:val="21"/>
          <w:szCs w:val="21"/>
        </w:rPr>
        <w:t>Wechselberger V, Reinelt T, Yngvesson J, et al. Methane losses from different biogas plant technologies[J]. Waste Management, 2023, 157: 110-120.</w:t>
      </w:r>
    </w:p>
    <w:p w14:paraId="439BD3C6">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left="420" w:hanging="420" w:hangingChars="200"/>
        <w:textAlignment w:val="auto"/>
        <w:rPr>
          <w:sz w:val="21"/>
          <w:szCs w:val="21"/>
        </w:rPr>
      </w:pPr>
      <w:r>
        <w:rPr>
          <w:rFonts w:hint="default"/>
          <w:sz w:val="21"/>
          <w:szCs w:val="21"/>
        </w:rPr>
        <w:t>Baldé H, Wagner-Riddle C, MacDonald D, et al. Fugitive methane emissions from two agricultural biogas plants[J]. Waste Management, 2022, 151: 123-130.</w:t>
      </w:r>
    </w:p>
    <w:p w14:paraId="390FBF8B">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left="420" w:hanging="420" w:hangingChars="200"/>
        <w:textAlignment w:val="auto"/>
        <w:rPr>
          <w:sz w:val="21"/>
          <w:szCs w:val="21"/>
        </w:rPr>
      </w:pPr>
      <w:r>
        <w:rPr>
          <w:rFonts w:hint="default"/>
          <w:sz w:val="21"/>
          <w:szCs w:val="21"/>
        </w:rPr>
        <w:t>Reinelt T, McCabe B, Hill A, et al. Field measurements of fugitive methane emissions from three Australian waste management and biogas facilities[J]. Waste Management, 2022, 137: 294-303.</w:t>
      </w:r>
    </w:p>
    <w:p w14:paraId="689CE8F2">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left="420" w:hanging="420" w:hangingChars="200"/>
        <w:textAlignment w:val="auto"/>
        <w:rPr>
          <w:sz w:val="21"/>
          <w:szCs w:val="21"/>
        </w:rPr>
      </w:pPr>
      <w:r>
        <w:rPr>
          <w:rFonts w:hint="default"/>
          <w:sz w:val="21"/>
          <w:szCs w:val="21"/>
        </w:rPr>
        <w:t>Hrad M, Huber-Humer M, Reinelt T, et al. Determination of methane emissions from biogas plants, using different quantification methods[J]. Agricultural and Forest Meteorology, 2022, 326: 109179.</w:t>
      </w:r>
    </w:p>
    <w:p w14:paraId="4EA7FF39">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left="420" w:hanging="420" w:hangingChars="200"/>
        <w:textAlignment w:val="auto"/>
        <w:rPr>
          <w:sz w:val="21"/>
          <w:szCs w:val="21"/>
        </w:rPr>
      </w:pPr>
      <w:r>
        <w:rPr>
          <w:rFonts w:hint="default"/>
          <w:sz w:val="21"/>
          <w:szCs w:val="21"/>
        </w:rPr>
        <w:t>Wang S, Sahoo K, Jena U, et al. Life-cycle assessment of treating slaughterhouse waste using anaerobic digestion systems[J]. Journal of Cleaner Production, 2021, 292: 126038.</w:t>
      </w:r>
    </w:p>
    <w:p w14:paraId="539CB9F1">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left="420" w:hanging="420" w:hangingChars="200"/>
        <w:textAlignment w:val="auto"/>
        <w:rPr>
          <w:sz w:val="21"/>
          <w:szCs w:val="21"/>
        </w:rPr>
      </w:pPr>
      <w:r>
        <w:rPr>
          <w:rFonts w:hint="default"/>
          <w:sz w:val="21"/>
          <w:szCs w:val="21"/>
        </w:rPr>
        <w:t>Zeng J, Xu R, Sun R, et al. Evaluation of methane emission flux from a typical biogas fermentation ecosystem in China[J]. Journal of Cleaner Production, 2020, 257: 120441.</w:t>
      </w:r>
    </w:p>
    <w:p w14:paraId="25F9FA79">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left="420" w:hanging="420" w:hangingChars="200"/>
        <w:textAlignment w:val="auto"/>
        <w:rPr>
          <w:sz w:val="21"/>
          <w:szCs w:val="21"/>
        </w:rPr>
      </w:pPr>
      <w:r>
        <w:rPr>
          <w:rFonts w:hint="default"/>
          <w:sz w:val="21"/>
          <w:szCs w:val="21"/>
        </w:rPr>
        <w:t>Reinelt T, Delre A, Westerkamp T, et al. Comparative use of different emission measurement approaches to determine methane emissions from a biogas plant[J]. Waste Management, 2017, 68: 173-185.</w:t>
      </w:r>
    </w:p>
    <w:p w14:paraId="2152056F">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left="420" w:hanging="420" w:hangingChars="200"/>
        <w:textAlignment w:val="auto"/>
        <w:rPr>
          <w:sz w:val="21"/>
          <w:szCs w:val="21"/>
        </w:rPr>
      </w:pPr>
      <w:r>
        <w:rPr>
          <w:rFonts w:hint="default"/>
          <w:sz w:val="21"/>
          <w:szCs w:val="21"/>
        </w:rPr>
        <w:t>Baldé H, Vanderzaag A C, Burtt S D, et al. Methane emissions from digestate at an agricultural biogas plant[J]. Bioresource Technology, 2016, 216: 914-922.</w:t>
      </w:r>
    </w:p>
    <w:p w14:paraId="4039EB45">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left="420" w:hanging="420" w:hangingChars="200"/>
        <w:textAlignment w:val="auto"/>
        <w:rPr>
          <w:sz w:val="21"/>
          <w:szCs w:val="21"/>
        </w:rPr>
      </w:pPr>
      <w:r>
        <w:rPr>
          <w:rFonts w:hint="default"/>
          <w:sz w:val="21"/>
          <w:szCs w:val="21"/>
        </w:rPr>
        <w:t>Hrad M, Piringer M, Huber-Humer M. Determining methane emissions from biogas plants – Operational and meteorological aspects[J]. Bioresource Technology, 2015, 191: 234-243.</w:t>
      </w:r>
    </w:p>
    <w:p w14:paraId="3C22BAD4">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left="420" w:hanging="420" w:hangingChars="200"/>
        <w:textAlignment w:val="auto"/>
        <w:rPr>
          <w:sz w:val="21"/>
          <w:szCs w:val="21"/>
        </w:rPr>
      </w:pPr>
      <w:r>
        <w:rPr>
          <w:rFonts w:hint="default"/>
          <w:sz w:val="21"/>
          <w:szCs w:val="21"/>
        </w:rPr>
        <w:t>Westerkamp T R, Torsten; Oehmischen, Katja; Ponitka, Jens; Nauman, Karin; Nelles, Michael. KlimaCH₄ - Klimaeffekte von Biomethan: Messungen von direkten Treibhausgasemissionen an Biogasanlagen mit Methanaufbereitung[M]. Deutsches Biomasseforschungszentrum, 2023.</w:t>
      </w:r>
    </w:p>
    <w:p w14:paraId="48BF5FC4">
      <w:pPr>
        <w:keepNext w:val="0"/>
        <w:keepLines w:val="0"/>
        <w:pageBreakBefore w:val="0"/>
        <w:widowControl w:val="0"/>
        <w:numPr>
          <w:ilvl w:val="0"/>
          <w:numId w:val="15"/>
        </w:numPr>
        <w:kinsoku/>
        <w:wordWrap/>
        <w:overflowPunct/>
        <w:topLinePunct w:val="0"/>
        <w:autoSpaceDE/>
        <w:autoSpaceDN/>
        <w:bidi w:val="0"/>
        <w:adjustRightInd/>
        <w:snapToGrid/>
        <w:spacing w:line="240" w:lineRule="auto"/>
        <w:ind w:left="420" w:hanging="420" w:hangingChars="200"/>
        <w:textAlignment w:val="auto"/>
        <w:rPr>
          <w:sz w:val="21"/>
          <w:szCs w:val="21"/>
        </w:rPr>
      </w:pPr>
      <w:r>
        <w:rPr>
          <w:rFonts w:hint="default"/>
          <w:sz w:val="21"/>
          <w:szCs w:val="21"/>
        </w:rPr>
        <w:t>Liebetrau J, Reinelt T, Clemens J, et al. Analysis of greenhouse gas emissions from 10 biogas plants within the agricultural sector[J]. Water Science and Technology, 2013, 67: 1370-1379.</w:t>
      </w:r>
    </w:p>
    <w:sectPr>
      <w:pgSz w:w="11906" w:h="16838"/>
      <w:pgMar w:top="1440" w:right="1797" w:bottom="1440" w:left="1797" w:header="851" w:footer="567" w:gutter="0"/>
      <w:pgBorders>
        <w:top w:val="none" w:sz="0" w:space="0"/>
        <w:left w:val="none" w:sz="0" w:space="0"/>
        <w:bottom w:val="none" w:sz="0" w:space="0"/>
        <w:right w:val="none" w:sz="0" w:space="0"/>
      </w:pgBorders>
      <w:pgNumType w:fmt="decimal"/>
      <w:cols w:space="0" w:num="1"/>
      <w:rtlGutter w:val="0"/>
      <w:docGrid w:type="lines" w:linePitch="395"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560"/>
      </w:pPr>
      <w:r>
        <w:separator/>
      </w:r>
    </w:p>
  </w:endnote>
  <w:endnote w:type="continuationSeparator" w:id="1">
    <w:p>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A96830BF-11A0-414A-9AE3-C2B0A5FD107A}"/>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Microsoft YaHei UI">
    <w:panose1 w:val="020B0503020204020204"/>
    <w:charset w:val="86"/>
    <w:family w:val="swiss"/>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D06FA0F">
    <w:pPr>
      <w:pStyle w:val="55"/>
      <w:spacing w:before="360" w:after="360"/>
      <w:ind w:firstLine="360"/>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9C19F01"/>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9C19F01"/>
                </w:txbxContent>
              </v:textbox>
            </v:shape>
          </w:pict>
        </mc:Fallback>
      </mc:AlternateContent>
    </w:r>
  </w:p>
  <w:p w14:paraId="4FB3D4E2">
    <w:pPr>
      <w:pStyle w:val="55"/>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46A0DB">
    <w:pPr>
      <w:pStyle w:val="55"/>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1B3A98">
    <w:pPr>
      <w:pStyle w:val="55"/>
      <w:ind w:firstLine="36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8332B32">
    <w:pPr>
      <w:pStyle w:val="55"/>
      <w:spacing w:before="360" w:after="360"/>
      <w:ind w:firstLine="360"/>
      <w:jc w:val="center"/>
    </w:pPr>
    <w:r>
      <w:rPr>
        <w:sz w:val="18"/>
      </w:rPr>
      <mc:AlternateContent>
        <mc:Choice Requires="wps">
          <w:drawing>
            <wp:anchor distT="0" distB="0" distL="114300" distR="114300" simplePos="0" relativeHeight="251660288" behindDoc="0" locked="0" layoutInCell="1" allowOverlap="1">
              <wp:simplePos x="0" y="0"/>
              <wp:positionH relativeFrom="margin">
                <wp:align>right</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47452750"/>
                          </w:sdtPr>
                          <w:sdtContent>
                            <w:p w14:paraId="518405E6">
                              <w:pPr>
                                <w:pStyle w:val="55"/>
                                <w:spacing w:before="360" w:after="360"/>
                                <w:ind w:firstLine="360"/>
                                <w:jc w:val="center"/>
                              </w:pPr>
                              <w:r>
                                <w:fldChar w:fldCharType="begin"/>
                              </w:r>
                              <w:r>
                                <w:instrText xml:space="preserve">PAGE   \* MERGEFORMAT</w:instrText>
                              </w:r>
                              <w:r>
                                <w:fldChar w:fldCharType="separate"/>
                              </w:r>
                              <w:r>
                                <w:rPr>
                                  <w:lang w:val="zh-CN"/>
                                </w:rPr>
                                <w:t>7</w:t>
                              </w:r>
                              <w:r>
                                <w:fldChar w:fldCharType="end"/>
                              </w:r>
                            </w:p>
                          </w:sdtContent>
                        </w:sdt>
                        <w:p w14:paraId="0B540613"/>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sdt>
                    <w:sdtPr>
                      <w:id w:val="147452750"/>
                    </w:sdtPr>
                    <w:sdtContent>
                      <w:p w14:paraId="518405E6">
                        <w:pPr>
                          <w:pStyle w:val="55"/>
                          <w:spacing w:before="360" w:after="360"/>
                          <w:ind w:firstLine="360"/>
                          <w:jc w:val="center"/>
                        </w:pPr>
                        <w:r>
                          <w:fldChar w:fldCharType="begin"/>
                        </w:r>
                        <w:r>
                          <w:instrText xml:space="preserve">PAGE   \* MERGEFORMAT</w:instrText>
                        </w:r>
                        <w:r>
                          <w:fldChar w:fldCharType="separate"/>
                        </w:r>
                        <w:r>
                          <w:rPr>
                            <w:lang w:val="zh-CN"/>
                          </w:rPr>
                          <w:t>7</w:t>
                        </w:r>
                        <w:r>
                          <w:fldChar w:fldCharType="end"/>
                        </w:r>
                      </w:p>
                    </w:sdtContent>
                  </w:sdt>
                  <w:p w14:paraId="0B540613"/>
                </w:txbxContent>
              </v:textbox>
            </v:shape>
          </w:pict>
        </mc:Fallback>
      </mc:AlternateContent>
    </w:r>
  </w:p>
  <w:p w14:paraId="759549EA">
    <w:pPr>
      <w:pStyle w:val="55"/>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360" w:lineRule="auto"/>
        <w:ind w:firstLine="560"/>
      </w:pPr>
      <w:r>
        <w:separator/>
      </w:r>
    </w:p>
  </w:footnote>
  <w:footnote w:type="continuationSeparator" w:id="1">
    <w:p>
      <w:pPr>
        <w:spacing w:before="0" w:after="0" w:line="360" w:lineRule="auto"/>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435CB5">
    <w:pPr>
      <w:pStyle w:val="57"/>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0C63EAA">
    <w:pPr>
      <w:pStyle w:val="57"/>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A5847"/>
    <w:multiLevelType w:val="singleLevel"/>
    <w:tmpl w:val="8D5A5847"/>
    <w:lvl w:ilvl="0" w:tentative="0">
      <w:start w:val="1"/>
      <w:numFmt w:val="decimal"/>
      <w:suff w:val="space"/>
      <w:lvlText w:val="[%1]"/>
      <w:lvlJc w:val="left"/>
    </w:lvl>
  </w:abstractNum>
  <w:abstractNum w:abstractNumId="1">
    <w:nsid w:val="B6488D90"/>
    <w:multiLevelType w:val="singleLevel"/>
    <w:tmpl w:val="B6488D90"/>
    <w:lvl w:ilvl="0" w:tentative="0">
      <w:start w:val="1"/>
      <w:numFmt w:val="decimal"/>
      <w:suff w:val="space"/>
      <w:lvlText w:val="%1."/>
      <w:lvlJc w:val="left"/>
    </w:lvl>
  </w:abstractNum>
  <w:abstractNum w:abstractNumId="2">
    <w:nsid w:val="FFFFFF7C"/>
    <w:multiLevelType w:val="singleLevel"/>
    <w:tmpl w:val="FFFFFF7C"/>
    <w:lvl w:ilvl="0" w:tentative="0">
      <w:start w:val="1"/>
      <w:numFmt w:val="decimal"/>
      <w:pStyle w:val="65"/>
      <w:lvlText w:val="%1."/>
      <w:lvlJc w:val="left"/>
      <w:pPr>
        <w:tabs>
          <w:tab w:val="left" w:pos="2040"/>
        </w:tabs>
        <w:ind w:left="2040" w:leftChars="800" w:hanging="360" w:hangingChars="200"/>
      </w:pPr>
    </w:lvl>
  </w:abstractNum>
  <w:abstractNum w:abstractNumId="3">
    <w:nsid w:val="FFFFFF7D"/>
    <w:multiLevelType w:val="singleLevel"/>
    <w:tmpl w:val="FFFFFF7D"/>
    <w:lvl w:ilvl="0" w:tentative="0">
      <w:start w:val="1"/>
      <w:numFmt w:val="decimal"/>
      <w:pStyle w:val="47"/>
      <w:lvlText w:val="%1."/>
      <w:lvlJc w:val="left"/>
      <w:pPr>
        <w:tabs>
          <w:tab w:val="left" w:pos="1620"/>
        </w:tabs>
        <w:ind w:left="1620" w:leftChars="600" w:hanging="360" w:hangingChars="200"/>
      </w:pPr>
    </w:lvl>
  </w:abstractNum>
  <w:abstractNum w:abstractNumId="4">
    <w:nsid w:val="FFFFFF7E"/>
    <w:multiLevelType w:val="singleLevel"/>
    <w:tmpl w:val="FFFFFF7E"/>
    <w:lvl w:ilvl="0" w:tentative="0">
      <w:start w:val="1"/>
      <w:numFmt w:val="decimal"/>
      <w:pStyle w:val="36"/>
      <w:lvlText w:val="%1."/>
      <w:lvlJc w:val="left"/>
      <w:pPr>
        <w:tabs>
          <w:tab w:val="left" w:pos="1200"/>
        </w:tabs>
        <w:ind w:left="1200" w:leftChars="400" w:hanging="360" w:hangingChars="200"/>
      </w:pPr>
    </w:lvl>
  </w:abstractNum>
  <w:abstractNum w:abstractNumId="5">
    <w:nsid w:val="FFFFFF7F"/>
    <w:multiLevelType w:val="singleLevel"/>
    <w:tmpl w:val="FFFFFF7F"/>
    <w:lvl w:ilvl="0" w:tentative="0">
      <w:start w:val="1"/>
      <w:numFmt w:val="decimal"/>
      <w:pStyle w:val="14"/>
      <w:lvlText w:val="%1."/>
      <w:lvlJc w:val="left"/>
      <w:pPr>
        <w:tabs>
          <w:tab w:val="left" w:pos="780"/>
        </w:tabs>
        <w:ind w:left="780" w:leftChars="200" w:hanging="360" w:hangingChars="200"/>
      </w:pPr>
    </w:lvl>
  </w:abstractNum>
  <w:abstractNum w:abstractNumId="6">
    <w:nsid w:val="FFFFFF80"/>
    <w:multiLevelType w:val="singleLevel"/>
    <w:tmpl w:val="FFFFFF80"/>
    <w:lvl w:ilvl="0" w:tentative="0">
      <w:start w:val="1"/>
      <w:numFmt w:val="bullet"/>
      <w:pStyle w:val="46"/>
      <w:lvlText w:val=""/>
      <w:lvlJc w:val="left"/>
      <w:pPr>
        <w:tabs>
          <w:tab w:val="left" w:pos="2040"/>
        </w:tabs>
        <w:ind w:left="2040" w:leftChars="800" w:hanging="360" w:hangingChars="200"/>
      </w:pPr>
      <w:rPr>
        <w:rFonts w:hint="default" w:ascii="Wingdings" w:hAnsi="Wingdings"/>
      </w:rPr>
    </w:lvl>
  </w:abstractNum>
  <w:abstractNum w:abstractNumId="7">
    <w:nsid w:val="FFFFFF81"/>
    <w:multiLevelType w:val="singleLevel"/>
    <w:tmpl w:val="FFFFFF81"/>
    <w:lvl w:ilvl="0" w:tentative="0">
      <w:start w:val="1"/>
      <w:numFmt w:val="bullet"/>
      <w:pStyle w:val="17"/>
      <w:lvlText w:val=""/>
      <w:lvlJc w:val="left"/>
      <w:pPr>
        <w:tabs>
          <w:tab w:val="left" w:pos="1620"/>
        </w:tabs>
        <w:ind w:left="1620" w:leftChars="600" w:hanging="360" w:hangingChars="200"/>
      </w:pPr>
      <w:rPr>
        <w:rFonts w:hint="default" w:ascii="Wingdings" w:hAnsi="Wingdings"/>
      </w:rPr>
    </w:lvl>
  </w:abstractNum>
  <w:abstractNum w:abstractNumId="8">
    <w:nsid w:val="FFFFFF82"/>
    <w:multiLevelType w:val="singleLevel"/>
    <w:tmpl w:val="FFFFFF82"/>
    <w:lvl w:ilvl="0" w:tentative="0">
      <w:start w:val="1"/>
      <w:numFmt w:val="bullet"/>
      <w:pStyle w:val="33"/>
      <w:lvlText w:val=""/>
      <w:lvlJc w:val="left"/>
      <w:pPr>
        <w:tabs>
          <w:tab w:val="left" w:pos="1200"/>
        </w:tabs>
        <w:ind w:left="1200" w:leftChars="400" w:hanging="360" w:hangingChars="200"/>
      </w:pPr>
      <w:rPr>
        <w:rFonts w:hint="default" w:ascii="Wingdings" w:hAnsi="Wingdings"/>
      </w:rPr>
    </w:lvl>
  </w:abstractNum>
  <w:abstractNum w:abstractNumId="9">
    <w:nsid w:val="FFFFFF83"/>
    <w:multiLevelType w:val="singleLevel"/>
    <w:tmpl w:val="FFFFFF83"/>
    <w:lvl w:ilvl="0" w:tentative="0">
      <w:start w:val="1"/>
      <w:numFmt w:val="bullet"/>
      <w:pStyle w:val="40"/>
      <w:lvlText w:val=""/>
      <w:lvlJc w:val="left"/>
      <w:pPr>
        <w:tabs>
          <w:tab w:val="left" w:pos="780"/>
        </w:tabs>
        <w:ind w:left="780" w:leftChars="200" w:hanging="360" w:hangingChars="200"/>
      </w:pPr>
      <w:rPr>
        <w:rFonts w:hint="default" w:ascii="Wingdings" w:hAnsi="Wingdings"/>
      </w:rPr>
    </w:lvl>
  </w:abstractNum>
  <w:abstractNum w:abstractNumId="10">
    <w:nsid w:val="FFFFFF88"/>
    <w:multiLevelType w:val="singleLevel"/>
    <w:tmpl w:val="FFFFFF88"/>
    <w:lvl w:ilvl="0" w:tentative="0">
      <w:start w:val="1"/>
      <w:numFmt w:val="decimal"/>
      <w:pStyle w:val="20"/>
      <w:lvlText w:val="%1."/>
      <w:lvlJc w:val="left"/>
      <w:pPr>
        <w:tabs>
          <w:tab w:val="left" w:pos="360"/>
        </w:tabs>
        <w:ind w:left="360" w:hanging="360" w:hangingChars="200"/>
      </w:pPr>
    </w:lvl>
  </w:abstractNum>
  <w:abstractNum w:abstractNumId="11">
    <w:nsid w:val="FFFFFF89"/>
    <w:multiLevelType w:val="singleLevel"/>
    <w:tmpl w:val="FFFFFF89"/>
    <w:lvl w:ilvl="0" w:tentative="0">
      <w:start w:val="1"/>
      <w:numFmt w:val="bullet"/>
      <w:pStyle w:val="24"/>
      <w:lvlText w:val=""/>
      <w:lvlJc w:val="left"/>
      <w:pPr>
        <w:tabs>
          <w:tab w:val="left" w:pos="360"/>
        </w:tabs>
        <w:ind w:left="360" w:hanging="360" w:hangingChars="200"/>
      </w:pPr>
      <w:rPr>
        <w:rFonts w:hint="default" w:ascii="Wingdings" w:hAnsi="Wingdings"/>
      </w:rPr>
    </w:lvl>
  </w:abstractNum>
  <w:abstractNum w:abstractNumId="12">
    <w:nsid w:val="1D649044"/>
    <w:multiLevelType w:val="singleLevel"/>
    <w:tmpl w:val="1D649044"/>
    <w:lvl w:ilvl="0" w:tentative="0">
      <w:start w:val="1"/>
      <w:numFmt w:val="decimal"/>
      <w:suff w:val="space"/>
      <w:lvlText w:val="%1."/>
      <w:lvlJc w:val="left"/>
    </w:lvl>
  </w:abstractNum>
  <w:abstractNum w:abstractNumId="13">
    <w:nsid w:val="1D9E5D9A"/>
    <w:multiLevelType w:val="multilevel"/>
    <w:tmpl w:val="1D9E5D9A"/>
    <w:lvl w:ilvl="0" w:tentative="0">
      <w:start w:val="1"/>
      <w:numFmt w:val="decimal"/>
      <w:pStyle w:val="106"/>
      <w:lvlText w:val="%1."/>
      <w:lvlJc w:val="left"/>
      <w:pPr>
        <w:ind w:left="425" w:hanging="425"/>
      </w:pPr>
      <w:rPr>
        <w:rFonts w:hint="eastAsia"/>
      </w:rPr>
    </w:lvl>
    <w:lvl w:ilvl="1" w:tentative="0">
      <w:start w:val="1"/>
      <w:numFmt w:val="decimal"/>
      <w:pStyle w:val="110"/>
      <w:lvlText w:val="%1.%2."/>
      <w:lvlJc w:val="left"/>
      <w:pPr>
        <w:ind w:left="567" w:hanging="567"/>
      </w:pPr>
      <w:rPr>
        <w:rFonts w:hint="eastAsia"/>
      </w:rPr>
    </w:lvl>
    <w:lvl w:ilvl="2" w:tentative="0">
      <w:start w:val="1"/>
      <w:numFmt w:val="decimal"/>
      <w:pStyle w:val="107"/>
      <w:lvlText w:val="%1.%2.%3."/>
      <w:lvlJc w:val="left"/>
      <w:pPr>
        <w:ind w:left="567" w:firstLine="57"/>
      </w:pPr>
      <w:rPr>
        <w:rFonts w:hint="eastAsia"/>
      </w:rPr>
    </w:lvl>
    <w:lvl w:ilvl="3" w:tentative="0">
      <w:start w:val="1"/>
      <w:numFmt w:val="decimal"/>
      <w:lvlText w:val="%1.%2.%3.%4."/>
      <w:lvlJc w:val="left"/>
      <w:pPr>
        <w:ind w:left="851" w:hanging="851"/>
      </w:pPr>
      <w:rPr>
        <w:rFonts w:hint="eastAsia"/>
      </w:rPr>
    </w:lvl>
    <w:lvl w:ilvl="4" w:tentative="0">
      <w:start w:val="1"/>
      <w:numFmt w:val="decimal"/>
      <w:lvlText w:val="%1.%2.%3.%4.%5."/>
      <w:lvlJc w:val="left"/>
      <w:pPr>
        <w:ind w:left="992" w:hanging="992"/>
      </w:pPr>
      <w:rPr>
        <w:rFonts w:hint="eastAsia"/>
      </w:rPr>
    </w:lvl>
    <w:lvl w:ilvl="5" w:tentative="0">
      <w:start w:val="1"/>
      <w:numFmt w:val="decimal"/>
      <w:lvlText w:val="%1.%2.%3.%4.%5.%6."/>
      <w:lvlJc w:val="left"/>
      <w:pPr>
        <w:ind w:left="1134" w:hanging="1134"/>
      </w:pPr>
      <w:rPr>
        <w:rFonts w:hint="eastAsia"/>
      </w:rPr>
    </w:lvl>
    <w:lvl w:ilvl="6" w:tentative="0">
      <w:start w:val="1"/>
      <w:numFmt w:val="decimal"/>
      <w:lvlText w:val="%1.%2.%3.%4.%5.%6.%7."/>
      <w:lvlJc w:val="left"/>
      <w:pPr>
        <w:ind w:left="1276" w:hanging="1276"/>
      </w:pPr>
      <w:rPr>
        <w:rFonts w:hint="eastAsia"/>
      </w:rPr>
    </w:lvl>
    <w:lvl w:ilvl="7" w:tentative="0">
      <w:start w:val="1"/>
      <w:numFmt w:val="decimal"/>
      <w:lvlText w:val="%1.%2.%3.%4.%5.%6.%7.%8."/>
      <w:lvlJc w:val="left"/>
      <w:pPr>
        <w:ind w:left="1418" w:hanging="1418"/>
      </w:pPr>
      <w:rPr>
        <w:rFonts w:hint="eastAsia"/>
      </w:rPr>
    </w:lvl>
    <w:lvl w:ilvl="8" w:tentative="0">
      <w:start w:val="1"/>
      <w:numFmt w:val="decimal"/>
      <w:lvlText w:val="%1.%2.%3.%4.%5.%6.%7.%8.%9."/>
      <w:lvlJc w:val="left"/>
      <w:pPr>
        <w:ind w:left="1559" w:hanging="1559"/>
      </w:pPr>
      <w:rPr>
        <w:rFonts w:hint="eastAsia"/>
      </w:rPr>
    </w:lvl>
  </w:abstractNum>
  <w:abstractNum w:abstractNumId="14">
    <w:nsid w:val="7C91FFB5"/>
    <w:multiLevelType w:val="singleLevel"/>
    <w:tmpl w:val="7C91FFB5"/>
    <w:lvl w:ilvl="0" w:tentative="0">
      <w:start w:val="1"/>
      <w:numFmt w:val="decimal"/>
      <w:suff w:val="space"/>
      <w:lvlText w:val="%1."/>
      <w:lvlJc w:val="left"/>
    </w:lvl>
  </w:abstractNum>
  <w:num w:numId="1">
    <w:abstractNumId w:val="5"/>
  </w:num>
  <w:num w:numId="2">
    <w:abstractNumId w:val="7"/>
  </w:num>
  <w:num w:numId="3">
    <w:abstractNumId w:val="10"/>
  </w:num>
  <w:num w:numId="4">
    <w:abstractNumId w:val="11"/>
  </w:num>
  <w:num w:numId="5">
    <w:abstractNumId w:val="8"/>
  </w:num>
  <w:num w:numId="6">
    <w:abstractNumId w:val="4"/>
  </w:num>
  <w:num w:numId="7">
    <w:abstractNumId w:val="9"/>
  </w:num>
  <w:num w:numId="8">
    <w:abstractNumId w:val="6"/>
  </w:num>
  <w:num w:numId="9">
    <w:abstractNumId w:val="3"/>
  </w:num>
  <w:num w:numId="10">
    <w:abstractNumId w:val="2"/>
  </w:num>
  <w:num w:numId="11">
    <w:abstractNumId w:val="13"/>
  </w:num>
  <w:num w:numId="12">
    <w:abstractNumId w:val="1"/>
  </w:num>
  <w:num w:numId="13">
    <w:abstractNumId w:val="14"/>
  </w:num>
  <w:num w:numId="14">
    <w:abstractNumId w:val="12"/>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doNotDisplayPageBoundaries w:val="1"/>
  <w:embedTrueTypeFonts/>
  <w:saveSubsetFonts/>
  <w:bordersDoNotSurroundHeader w:val="0"/>
  <w:bordersDoNotSurroundFooter w:val="0"/>
  <w:documentProtection w:enforcement="0"/>
  <w:defaultTabStop w:val="420"/>
  <w:drawingGridHorizontalSpacing w:val="105"/>
  <w:drawingGridVerticalSpacing w:val="198"/>
  <w:displayHorizontalDrawingGridEvery w:val="1"/>
  <w:displayVerticalDrawingGridEvery w:val="1"/>
  <w:noPunctuationKerning w:val="1"/>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1ODViM2U3NmVmZjE5YmMyNjJjMjY2MWNlZWY0YjMifQ=="/>
  </w:docVars>
  <w:rsids>
    <w:rsidRoot w:val="006B5E77"/>
    <w:rsid w:val="00004BB0"/>
    <w:rsid w:val="000248F9"/>
    <w:rsid w:val="00030B28"/>
    <w:rsid w:val="00030B8C"/>
    <w:rsid w:val="0004320C"/>
    <w:rsid w:val="00044A1F"/>
    <w:rsid w:val="000467AD"/>
    <w:rsid w:val="00047296"/>
    <w:rsid w:val="00057A84"/>
    <w:rsid w:val="00070EBE"/>
    <w:rsid w:val="000727B4"/>
    <w:rsid w:val="00086284"/>
    <w:rsid w:val="000910FC"/>
    <w:rsid w:val="00093AB7"/>
    <w:rsid w:val="000A220F"/>
    <w:rsid w:val="000D5B68"/>
    <w:rsid w:val="000D73D9"/>
    <w:rsid w:val="000E2C21"/>
    <w:rsid w:val="000F50BE"/>
    <w:rsid w:val="00104A94"/>
    <w:rsid w:val="00105DE8"/>
    <w:rsid w:val="00114899"/>
    <w:rsid w:val="00114F9E"/>
    <w:rsid w:val="0013294F"/>
    <w:rsid w:val="001340A3"/>
    <w:rsid w:val="0013637B"/>
    <w:rsid w:val="00145825"/>
    <w:rsid w:val="00152ACF"/>
    <w:rsid w:val="00165C53"/>
    <w:rsid w:val="0019468F"/>
    <w:rsid w:val="00194EAD"/>
    <w:rsid w:val="001A0E69"/>
    <w:rsid w:val="001A190E"/>
    <w:rsid w:val="001B2D2C"/>
    <w:rsid w:val="001B5D4F"/>
    <w:rsid w:val="001B67B2"/>
    <w:rsid w:val="001C502E"/>
    <w:rsid w:val="001D3B6C"/>
    <w:rsid w:val="001D69C0"/>
    <w:rsid w:val="001E2F4C"/>
    <w:rsid w:val="001F032A"/>
    <w:rsid w:val="001F3B83"/>
    <w:rsid w:val="00206359"/>
    <w:rsid w:val="00222988"/>
    <w:rsid w:val="002253BA"/>
    <w:rsid w:val="00225D89"/>
    <w:rsid w:val="002333BE"/>
    <w:rsid w:val="00236CCE"/>
    <w:rsid w:val="0024634A"/>
    <w:rsid w:val="00255DA1"/>
    <w:rsid w:val="00270B76"/>
    <w:rsid w:val="00271E5B"/>
    <w:rsid w:val="002741D6"/>
    <w:rsid w:val="00277B3D"/>
    <w:rsid w:val="0029288C"/>
    <w:rsid w:val="00292E69"/>
    <w:rsid w:val="002A55FB"/>
    <w:rsid w:val="002C79D9"/>
    <w:rsid w:val="002E5BF9"/>
    <w:rsid w:val="002F7E81"/>
    <w:rsid w:val="00300211"/>
    <w:rsid w:val="003011F6"/>
    <w:rsid w:val="003136A3"/>
    <w:rsid w:val="003158DA"/>
    <w:rsid w:val="003340D6"/>
    <w:rsid w:val="00347724"/>
    <w:rsid w:val="0035064F"/>
    <w:rsid w:val="003557DA"/>
    <w:rsid w:val="003613CC"/>
    <w:rsid w:val="00363C99"/>
    <w:rsid w:val="00365EB1"/>
    <w:rsid w:val="00381651"/>
    <w:rsid w:val="003855B1"/>
    <w:rsid w:val="003A4975"/>
    <w:rsid w:val="003B0CFA"/>
    <w:rsid w:val="003E79FE"/>
    <w:rsid w:val="00422C46"/>
    <w:rsid w:val="00423094"/>
    <w:rsid w:val="00443369"/>
    <w:rsid w:val="00446D5B"/>
    <w:rsid w:val="00451A48"/>
    <w:rsid w:val="00455C6D"/>
    <w:rsid w:val="00456653"/>
    <w:rsid w:val="004605B3"/>
    <w:rsid w:val="00463E75"/>
    <w:rsid w:val="004757C3"/>
    <w:rsid w:val="00490F47"/>
    <w:rsid w:val="004916BE"/>
    <w:rsid w:val="004B0730"/>
    <w:rsid w:val="004B10C5"/>
    <w:rsid w:val="004B2FB9"/>
    <w:rsid w:val="004B3436"/>
    <w:rsid w:val="004B4796"/>
    <w:rsid w:val="004B76E4"/>
    <w:rsid w:val="004C043A"/>
    <w:rsid w:val="004C0FBD"/>
    <w:rsid w:val="004D2B55"/>
    <w:rsid w:val="004D5943"/>
    <w:rsid w:val="004F2371"/>
    <w:rsid w:val="00507C4B"/>
    <w:rsid w:val="00513EFB"/>
    <w:rsid w:val="00515102"/>
    <w:rsid w:val="00520865"/>
    <w:rsid w:val="00520C16"/>
    <w:rsid w:val="005263F0"/>
    <w:rsid w:val="00536714"/>
    <w:rsid w:val="005640A5"/>
    <w:rsid w:val="00565243"/>
    <w:rsid w:val="00573CE4"/>
    <w:rsid w:val="00592611"/>
    <w:rsid w:val="005A5593"/>
    <w:rsid w:val="005B0F57"/>
    <w:rsid w:val="005B3FA0"/>
    <w:rsid w:val="005C2EC4"/>
    <w:rsid w:val="005E6BFA"/>
    <w:rsid w:val="005F1628"/>
    <w:rsid w:val="005F575A"/>
    <w:rsid w:val="0060107E"/>
    <w:rsid w:val="00611C8A"/>
    <w:rsid w:val="006242F6"/>
    <w:rsid w:val="00626002"/>
    <w:rsid w:val="006344C8"/>
    <w:rsid w:val="0066048C"/>
    <w:rsid w:val="00660B77"/>
    <w:rsid w:val="00670BCD"/>
    <w:rsid w:val="0067539E"/>
    <w:rsid w:val="00681CD6"/>
    <w:rsid w:val="006A015F"/>
    <w:rsid w:val="006B5E77"/>
    <w:rsid w:val="006D21E7"/>
    <w:rsid w:val="006D332B"/>
    <w:rsid w:val="006E5BA2"/>
    <w:rsid w:val="006E6E5C"/>
    <w:rsid w:val="00701FAF"/>
    <w:rsid w:val="00702588"/>
    <w:rsid w:val="00703956"/>
    <w:rsid w:val="00704AD2"/>
    <w:rsid w:val="0072246A"/>
    <w:rsid w:val="00743C7C"/>
    <w:rsid w:val="007451F3"/>
    <w:rsid w:val="00753DA3"/>
    <w:rsid w:val="00764B95"/>
    <w:rsid w:val="00766B16"/>
    <w:rsid w:val="0079040F"/>
    <w:rsid w:val="007A04C8"/>
    <w:rsid w:val="007A484E"/>
    <w:rsid w:val="007B0339"/>
    <w:rsid w:val="007B2A35"/>
    <w:rsid w:val="007C318B"/>
    <w:rsid w:val="007C4745"/>
    <w:rsid w:val="007D2E9D"/>
    <w:rsid w:val="007D7307"/>
    <w:rsid w:val="007E7BD8"/>
    <w:rsid w:val="008102ED"/>
    <w:rsid w:val="00827E10"/>
    <w:rsid w:val="00832197"/>
    <w:rsid w:val="00837E1A"/>
    <w:rsid w:val="008410DA"/>
    <w:rsid w:val="00850791"/>
    <w:rsid w:val="008552C2"/>
    <w:rsid w:val="00855933"/>
    <w:rsid w:val="008722FC"/>
    <w:rsid w:val="00875B50"/>
    <w:rsid w:val="00876BDF"/>
    <w:rsid w:val="00891356"/>
    <w:rsid w:val="008C5D6D"/>
    <w:rsid w:val="008E7FF0"/>
    <w:rsid w:val="009066F6"/>
    <w:rsid w:val="00910833"/>
    <w:rsid w:val="00916A95"/>
    <w:rsid w:val="0092412E"/>
    <w:rsid w:val="009264D6"/>
    <w:rsid w:val="00926B86"/>
    <w:rsid w:val="009306C8"/>
    <w:rsid w:val="0093644C"/>
    <w:rsid w:val="00961077"/>
    <w:rsid w:val="00965037"/>
    <w:rsid w:val="0096745A"/>
    <w:rsid w:val="00992090"/>
    <w:rsid w:val="009A290E"/>
    <w:rsid w:val="009A3A16"/>
    <w:rsid w:val="009C611C"/>
    <w:rsid w:val="009D21DE"/>
    <w:rsid w:val="009D3516"/>
    <w:rsid w:val="009F07A6"/>
    <w:rsid w:val="00A015BA"/>
    <w:rsid w:val="00A05DAF"/>
    <w:rsid w:val="00A13964"/>
    <w:rsid w:val="00A176CF"/>
    <w:rsid w:val="00A20456"/>
    <w:rsid w:val="00A53C8B"/>
    <w:rsid w:val="00A601E9"/>
    <w:rsid w:val="00A622E1"/>
    <w:rsid w:val="00A62AE1"/>
    <w:rsid w:val="00A65A97"/>
    <w:rsid w:val="00A73DA2"/>
    <w:rsid w:val="00A84821"/>
    <w:rsid w:val="00A91C93"/>
    <w:rsid w:val="00AA3545"/>
    <w:rsid w:val="00AA6941"/>
    <w:rsid w:val="00AB24DC"/>
    <w:rsid w:val="00AB45DE"/>
    <w:rsid w:val="00AC47D4"/>
    <w:rsid w:val="00AD278C"/>
    <w:rsid w:val="00AE2723"/>
    <w:rsid w:val="00AF3489"/>
    <w:rsid w:val="00B06402"/>
    <w:rsid w:val="00B1461F"/>
    <w:rsid w:val="00B1693E"/>
    <w:rsid w:val="00B21F5F"/>
    <w:rsid w:val="00B31B32"/>
    <w:rsid w:val="00B34DCE"/>
    <w:rsid w:val="00B47AD0"/>
    <w:rsid w:val="00B52950"/>
    <w:rsid w:val="00B607A1"/>
    <w:rsid w:val="00B70093"/>
    <w:rsid w:val="00B770D1"/>
    <w:rsid w:val="00B815EA"/>
    <w:rsid w:val="00B844CB"/>
    <w:rsid w:val="00B877AF"/>
    <w:rsid w:val="00B917E4"/>
    <w:rsid w:val="00B97D0E"/>
    <w:rsid w:val="00BA19EB"/>
    <w:rsid w:val="00BC40F7"/>
    <w:rsid w:val="00BC5CDD"/>
    <w:rsid w:val="00BD61A2"/>
    <w:rsid w:val="00BD710B"/>
    <w:rsid w:val="00BE20CE"/>
    <w:rsid w:val="00BE5A6A"/>
    <w:rsid w:val="00BE6472"/>
    <w:rsid w:val="00BE6F6C"/>
    <w:rsid w:val="00BF1853"/>
    <w:rsid w:val="00C025C8"/>
    <w:rsid w:val="00C05DA1"/>
    <w:rsid w:val="00C06794"/>
    <w:rsid w:val="00C0763A"/>
    <w:rsid w:val="00C1073F"/>
    <w:rsid w:val="00C17AA9"/>
    <w:rsid w:val="00C23690"/>
    <w:rsid w:val="00C30624"/>
    <w:rsid w:val="00C34736"/>
    <w:rsid w:val="00C453D1"/>
    <w:rsid w:val="00C4631B"/>
    <w:rsid w:val="00C4735B"/>
    <w:rsid w:val="00C53E64"/>
    <w:rsid w:val="00C54D9F"/>
    <w:rsid w:val="00C57032"/>
    <w:rsid w:val="00C63150"/>
    <w:rsid w:val="00CC16CC"/>
    <w:rsid w:val="00CC1AEB"/>
    <w:rsid w:val="00CC1AED"/>
    <w:rsid w:val="00CC4972"/>
    <w:rsid w:val="00CE6F79"/>
    <w:rsid w:val="00CF353F"/>
    <w:rsid w:val="00CF52FC"/>
    <w:rsid w:val="00CF553B"/>
    <w:rsid w:val="00CF6811"/>
    <w:rsid w:val="00D005B6"/>
    <w:rsid w:val="00D005D3"/>
    <w:rsid w:val="00D02840"/>
    <w:rsid w:val="00D05961"/>
    <w:rsid w:val="00D11486"/>
    <w:rsid w:val="00D21BA7"/>
    <w:rsid w:val="00D22D48"/>
    <w:rsid w:val="00D278FE"/>
    <w:rsid w:val="00D676C7"/>
    <w:rsid w:val="00D76C27"/>
    <w:rsid w:val="00D86894"/>
    <w:rsid w:val="00D9152A"/>
    <w:rsid w:val="00D93660"/>
    <w:rsid w:val="00DA1D81"/>
    <w:rsid w:val="00DB7C89"/>
    <w:rsid w:val="00DD3825"/>
    <w:rsid w:val="00DD3BFB"/>
    <w:rsid w:val="00E015BA"/>
    <w:rsid w:val="00E047EE"/>
    <w:rsid w:val="00E24C50"/>
    <w:rsid w:val="00E27619"/>
    <w:rsid w:val="00E30332"/>
    <w:rsid w:val="00E3132B"/>
    <w:rsid w:val="00E3325D"/>
    <w:rsid w:val="00E60F3E"/>
    <w:rsid w:val="00E7025B"/>
    <w:rsid w:val="00E80AFC"/>
    <w:rsid w:val="00E87A0A"/>
    <w:rsid w:val="00E928CC"/>
    <w:rsid w:val="00E957D9"/>
    <w:rsid w:val="00E97C54"/>
    <w:rsid w:val="00EA0EB5"/>
    <w:rsid w:val="00EA5937"/>
    <w:rsid w:val="00EA7D4D"/>
    <w:rsid w:val="00ED4961"/>
    <w:rsid w:val="00EE7312"/>
    <w:rsid w:val="00EE7648"/>
    <w:rsid w:val="00EF658D"/>
    <w:rsid w:val="00F045A0"/>
    <w:rsid w:val="00F0716E"/>
    <w:rsid w:val="00F14884"/>
    <w:rsid w:val="00F16416"/>
    <w:rsid w:val="00F25CCE"/>
    <w:rsid w:val="00F319BA"/>
    <w:rsid w:val="00F43739"/>
    <w:rsid w:val="00F47A56"/>
    <w:rsid w:val="00F5134F"/>
    <w:rsid w:val="00F547E2"/>
    <w:rsid w:val="00F60779"/>
    <w:rsid w:val="00F63F2B"/>
    <w:rsid w:val="00F656C9"/>
    <w:rsid w:val="00F65966"/>
    <w:rsid w:val="00F70A38"/>
    <w:rsid w:val="00F76975"/>
    <w:rsid w:val="00F843EA"/>
    <w:rsid w:val="00FA4E2E"/>
    <w:rsid w:val="00FC5AA5"/>
    <w:rsid w:val="00FD145A"/>
    <w:rsid w:val="00FD32D2"/>
    <w:rsid w:val="00FE4D72"/>
    <w:rsid w:val="00FE4D86"/>
    <w:rsid w:val="00FE7116"/>
    <w:rsid w:val="00FF1CE5"/>
    <w:rsid w:val="00FF47BE"/>
    <w:rsid w:val="00FF53E7"/>
    <w:rsid w:val="01576085"/>
    <w:rsid w:val="01633E9B"/>
    <w:rsid w:val="029A1B3E"/>
    <w:rsid w:val="03577A2F"/>
    <w:rsid w:val="038A3960"/>
    <w:rsid w:val="03DE5A5A"/>
    <w:rsid w:val="043F299D"/>
    <w:rsid w:val="045C4A80"/>
    <w:rsid w:val="04AD3DAA"/>
    <w:rsid w:val="04E15281"/>
    <w:rsid w:val="05D13AC9"/>
    <w:rsid w:val="062067FE"/>
    <w:rsid w:val="06302E80"/>
    <w:rsid w:val="06CA3F77"/>
    <w:rsid w:val="07D8288D"/>
    <w:rsid w:val="080B25FC"/>
    <w:rsid w:val="082B7D91"/>
    <w:rsid w:val="08E25FED"/>
    <w:rsid w:val="091837BC"/>
    <w:rsid w:val="09D05E45"/>
    <w:rsid w:val="09F61D50"/>
    <w:rsid w:val="0A2D4C39"/>
    <w:rsid w:val="0AE13AD1"/>
    <w:rsid w:val="0B3643CE"/>
    <w:rsid w:val="0B4E5BBB"/>
    <w:rsid w:val="0B534F80"/>
    <w:rsid w:val="0DFE5677"/>
    <w:rsid w:val="0E0D1416"/>
    <w:rsid w:val="0E547045"/>
    <w:rsid w:val="0F201EB9"/>
    <w:rsid w:val="0F8B44EB"/>
    <w:rsid w:val="10895B98"/>
    <w:rsid w:val="10F20884"/>
    <w:rsid w:val="114A472F"/>
    <w:rsid w:val="12323B41"/>
    <w:rsid w:val="12FB7ED8"/>
    <w:rsid w:val="134358DA"/>
    <w:rsid w:val="14F52C04"/>
    <w:rsid w:val="1562473D"/>
    <w:rsid w:val="15BA6327"/>
    <w:rsid w:val="164B3423"/>
    <w:rsid w:val="180B0B11"/>
    <w:rsid w:val="18CE5C46"/>
    <w:rsid w:val="19CC557E"/>
    <w:rsid w:val="1B2D1349"/>
    <w:rsid w:val="1B7C407F"/>
    <w:rsid w:val="1C1442B7"/>
    <w:rsid w:val="1C2B2F05"/>
    <w:rsid w:val="1CC45CDD"/>
    <w:rsid w:val="1CC85120"/>
    <w:rsid w:val="1CE9BE3E"/>
    <w:rsid w:val="1DB7139E"/>
    <w:rsid w:val="1EA336D1"/>
    <w:rsid w:val="1ED00CA9"/>
    <w:rsid w:val="1F1D7927"/>
    <w:rsid w:val="1F9C4CF0"/>
    <w:rsid w:val="205C7FDB"/>
    <w:rsid w:val="21020B82"/>
    <w:rsid w:val="21B3536C"/>
    <w:rsid w:val="22001566"/>
    <w:rsid w:val="2241397D"/>
    <w:rsid w:val="246D0B25"/>
    <w:rsid w:val="24861743"/>
    <w:rsid w:val="262FD968"/>
    <w:rsid w:val="264B4D7A"/>
    <w:rsid w:val="27CE17BE"/>
    <w:rsid w:val="288A4FB3"/>
    <w:rsid w:val="28A434F5"/>
    <w:rsid w:val="28AB7D51"/>
    <w:rsid w:val="28E374EB"/>
    <w:rsid w:val="29E057D9"/>
    <w:rsid w:val="2AD27817"/>
    <w:rsid w:val="2BDD46C6"/>
    <w:rsid w:val="2BFE6E61"/>
    <w:rsid w:val="2CA376BD"/>
    <w:rsid w:val="2D0A39F6"/>
    <w:rsid w:val="2D2F0F51"/>
    <w:rsid w:val="2D4D5379"/>
    <w:rsid w:val="2D5E5FEC"/>
    <w:rsid w:val="2D6055AE"/>
    <w:rsid w:val="2DBF31D4"/>
    <w:rsid w:val="2E3A195C"/>
    <w:rsid w:val="2E857D53"/>
    <w:rsid w:val="2E8C5F2F"/>
    <w:rsid w:val="2F4131BE"/>
    <w:rsid w:val="2FEB0144"/>
    <w:rsid w:val="30817D16"/>
    <w:rsid w:val="31107A3A"/>
    <w:rsid w:val="311A6762"/>
    <w:rsid w:val="31BF1AB7"/>
    <w:rsid w:val="32B1065A"/>
    <w:rsid w:val="32BB6DE3"/>
    <w:rsid w:val="32CC7242"/>
    <w:rsid w:val="3369683F"/>
    <w:rsid w:val="33721B98"/>
    <w:rsid w:val="33EE15DD"/>
    <w:rsid w:val="34066A4F"/>
    <w:rsid w:val="344D6161"/>
    <w:rsid w:val="34F812F7"/>
    <w:rsid w:val="36CA18A7"/>
    <w:rsid w:val="370D792B"/>
    <w:rsid w:val="376161AB"/>
    <w:rsid w:val="37C64260"/>
    <w:rsid w:val="37E02C38"/>
    <w:rsid w:val="39455658"/>
    <w:rsid w:val="3AD849D6"/>
    <w:rsid w:val="3BEF01DF"/>
    <w:rsid w:val="3BF04354"/>
    <w:rsid w:val="3C277297"/>
    <w:rsid w:val="3C7C5835"/>
    <w:rsid w:val="3CD94A35"/>
    <w:rsid w:val="3D4E71D1"/>
    <w:rsid w:val="3E817133"/>
    <w:rsid w:val="3EF35049"/>
    <w:rsid w:val="3FF7B244"/>
    <w:rsid w:val="3FFB2F15"/>
    <w:rsid w:val="3FFFED27"/>
    <w:rsid w:val="400865C8"/>
    <w:rsid w:val="401A339B"/>
    <w:rsid w:val="405745EF"/>
    <w:rsid w:val="41CF6407"/>
    <w:rsid w:val="42380450"/>
    <w:rsid w:val="426306F7"/>
    <w:rsid w:val="43016A94"/>
    <w:rsid w:val="430F7403"/>
    <w:rsid w:val="43370708"/>
    <w:rsid w:val="43714B34"/>
    <w:rsid w:val="440A3AEB"/>
    <w:rsid w:val="442C18EF"/>
    <w:rsid w:val="442E1B0B"/>
    <w:rsid w:val="458234E0"/>
    <w:rsid w:val="465B0601"/>
    <w:rsid w:val="46625A9C"/>
    <w:rsid w:val="468C2B19"/>
    <w:rsid w:val="479967D4"/>
    <w:rsid w:val="47F932DD"/>
    <w:rsid w:val="48164D90"/>
    <w:rsid w:val="49582357"/>
    <w:rsid w:val="496967E3"/>
    <w:rsid w:val="49EA0282"/>
    <w:rsid w:val="49F17862"/>
    <w:rsid w:val="4A394D65"/>
    <w:rsid w:val="4A5B7C6A"/>
    <w:rsid w:val="4B9A7A86"/>
    <w:rsid w:val="4D4759EB"/>
    <w:rsid w:val="4D4E4AE7"/>
    <w:rsid w:val="4DBC0187"/>
    <w:rsid w:val="4DF74D1B"/>
    <w:rsid w:val="4E2B65FD"/>
    <w:rsid w:val="4FDF015D"/>
    <w:rsid w:val="50630D8E"/>
    <w:rsid w:val="50EF2622"/>
    <w:rsid w:val="51A72EFC"/>
    <w:rsid w:val="51FDD149"/>
    <w:rsid w:val="5281374D"/>
    <w:rsid w:val="52923265"/>
    <w:rsid w:val="52B256B5"/>
    <w:rsid w:val="536C05EF"/>
    <w:rsid w:val="53A2768D"/>
    <w:rsid w:val="53AF7C99"/>
    <w:rsid w:val="544607AB"/>
    <w:rsid w:val="54774E08"/>
    <w:rsid w:val="54E67898"/>
    <w:rsid w:val="55520454"/>
    <w:rsid w:val="55D219FA"/>
    <w:rsid w:val="55F02F8F"/>
    <w:rsid w:val="5662305F"/>
    <w:rsid w:val="567D301C"/>
    <w:rsid w:val="57432A94"/>
    <w:rsid w:val="577F5972"/>
    <w:rsid w:val="57CA524F"/>
    <w:rsid w:val="57D8796C"/>
    <w:rsid w:val="580C512C"/>
    <w:rsid w:val="586C6306"/>
    <w:rsid w:val="58B36257"/>
    <w:rsid w:val="58BA52C3"/>
    <w:rsid w:val="58C76182"/>
    <w:rsid w:val="59051F31"/>
    <w:rsid w:val="59156DFC"/>
    <w:rsid w:val="593EAF10"/>
    <w:rsid w:val="5985360A"/>
    <w:rsid w:val="59CF5B97"/>
    <w:rsid w:val="5A6000EC"/>
    <w:rsid w:val="5A6C6A91"/>
    <w:rsid w:val="5B0B62AA"/>
    <w:rsid w:val="5B22711E"/>
    <w:rsid w:val="5B9B7044"/>
    <w:rsid w:val="5BCC3C8B"/>
    <w:rsid w:val="5BDFD2EB"/>
    <w:rsid w:val="5D704AEA"/>
    <w:rsid w:val="5D956C92"/>
    <w:rsid w:val="5DD76917"/>
    <w:rsid w:val="5EC24348"/>
    <w:rsid w:val="5F1871E8"/>
    <w:rsid w:val="5F6D308F"/>
    <w:rsid w:val="60EC6236"/>
    <w:rsid w:val="617565F6"/>
    <w:rsid w:val="617F52FC"/>
    <w:rsid w:val="61B727FB"/>
    <w:rsid w:val="61DF16E8"/>
    <w:rsid w:val="62181920"/>
    <w:rsid w:val="6263077A"/>
    <w:rsid w:val="62DD052C"/>
    <w:rsid w:val="63AF8640"/>
    <w:rsid w:val="64A12BFF"/>
    <w:rsid w:val="64A21A2D"/>
    <w:rsid w:val="64DE058B"/>
    <w:rsid w:val="64DF4A2F"/>
    <w:rsid w:val="654523B9"/>
    <w:rsid w:val="65905D2A"/>
    <w:rsid w:val="662D3578"/>
    <w:rsid w:val="66691B3D"/>
    <w:rsid w:val="673F7527"/>
    <w:rsid w:val="67F9AA5A"/>
    <w:rsid w:val="6870599E"/>
    <w:rsid w:val="694477F6"/>
    <w:rsid w:val="694806C9"/>
    <w:rsid w:val="697370B8"/>
    <w:rsid w:val="699B14A4"/>
    <w:rsid w:val="69AC0765"/>
    <w:rsid w:val="69B144C0"/>
    <w:rsid w:val="6A0059D7"/>
    <w:rsid w:val="6A286F31"/>
    <w:rsid w:val="6A5C442C"/>
    <w:rsid w:val="6A800E78"/>
    <w:rsid w:val="6B4F3F91"/>
    <w:rsid w:val="6C6DF0F7"/>
    <w:rsid w:val="6CCF6012"/>
    <w:rsid w:val="6D0843F7"/>
    <w:rsid w:val="6D68133A"/>
    <w:rsid w:val="6DFCC363"/>
    <w:rsid w:val="6E50522E"/>
    <w:rsid w:val="6E597664"/>
    <w:rsid w:val="6E9C573F"/>
    <w:rsid w:val="6E9F2B3A"/>
    <w:rsid w:val="6FA76237"/>
    <w:rsid w:val="6FFD3F1E"/>
    <w:rsid w:val="70F80C27"/>
    <w:rsid w:val="71706DFB"/>
    <w:rsid w:val="717E2439"/>
    <w:rsid w:val="718D75C1"/>
    <w:rsid w:val="71EA0570"/>
    <w:rsid w:val="72E476B5"/>
    <w:rsid w:val="737A70FF"/>
    <w:rsid w:val="73903399"/>
    <w:rsid w:val="74C7103C"/>
    <w:rsid w:val="75652C02"/>
    <w:rsid w:val="75796B93"/>
    <w:rsid w:val="75D60437"/>
    <w:rsid w:val="760F2C9B"/>
    <w:rsid w:val="773DEA2F"/>
    <w:rsid w:val="778D4A4C"/>
    <w:rsid w:val="779416A9"/>
    <w:rsid w:val="77FF6090"/>
    <w:rsid w:val="78005BC6"/>
    <w:rsid w:val="78501E28"/>
    <w:rsid w:val="78B838C1"/>
    <w:rsid w:val="78BD078C"/>
    <w:rsid w:val="79705FD0"/>
    <w:rsid w:val="79AB2CDA"/>
    <w:rsid w:val="7B711EC1"/>
    <w:rsid w:val="7BE81FC4"/>
    <w:rsid w:val="7BEB319B"/>
    <w:rsid w:val="7BFF7832"/>
    <w:rsid w:val="7C0C5586"/>
    <w:rsid w:val="7D3F20B7"/>
    <w:rsid w:val="7D715FE9"/>
    <w:rsid w:val="7D7653AD"/>
    <w:rsid w:val="7D7D8BC0"/>
    <w:rsid w:val="7DDD71DA"/>
    <w:rsid w:val="7DEC6F11"/>
    <w:rsid w:val="7DF96F34"/>
    <w:rsid w:val="7E8C7B8B"/>
    <w:rsid w:val="7EBE32F3"/>
    <w:rsid w:val="7EC02D84"/>
    <w:rsid w:val="7ED700CE"/>
    <w:rsid w:val="7EE3E8AC"/>
    <w:rsid w:val="7F2CFC33"/>
    <w:rsid w:val="7F460DAF"/>
    <w:rsid w:val="7F5FC1DE"/>
    <w:rsid w:val="7F7B9323"/>
    <w:rsid w:val="7FAECCF7"/>
    <w:rsid w:val="7FDECD7F"/>
    <w:rsid w:val="7FFDDF88"/>
    <w:rsid w:val="7FFF72C9"/>
    <w:rsid w:val="9DDECB6C"/>
    <w:rsid w:val="9FDD1019"/>
    <w:rsid w:val="A2E505F5"/>
    <w:rsid w:val="B1EA4212"/>
    <w:rsid w:val="B7FF33E9"/>
    <w:rsid w:val="BDF71CB1"/>
    <w:rsid w:val="BFE665AC"/>
    <w:rsid w:val="C43E0355"/>
    <w:rsid w:val="CFFF5916"/>
    <w:rsid w:val="D75A92D5"/>
    <w:rsid w:val="DBF88031"/>
    <w:rsid w:val="DBFFE7AA"/>
    <w:rsid w:val="DC6F925B"/>
    <w:rsid w:val="DE7E1117"/>
    <w:rsid w:val="DFFB67A4"/>
    <w:rsid w:val="E6FFE327"/>
    <w:rsid w:val="E998F75C"/>
    <w:rsid w:val="E9DDFC81"/>
    <w:rsid w:val="EBE5A3B5"/>
    <w:rsid w:val="EC5E061F"/>
    <w:rsid w:val="EDEB672E"/>
    <w:rsid w:val="EDFF8F91"/>
    <w:rsid w:val="EEDE02EF"/>
    <w:rsid w:val="F37F4491"/>
    <w:rsid w:val="F7573C0D"/>
    <w:rsid w:val="F9C21D18"/>
    <w:rsid w:val="FDF71B48"/>
    <w:rsid w:val="FFF7A4E3"/>
    <w:rsid w:val="FFFFA418"/>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name="heading 7"/>
    <w:lsdException w:qFormat="1" w:uiPriority="9" w:name="heading 8"/>
    <w:lsdException w:qFormat="1" w:uiPriority="9" w:name="heading 9"/>
    <w:lsdException w:qFormat="1" w:uiPriority="99" w:name="index 1"/>
    <w:lsdException w:qFormat="1" w:uiPriority="99" w:name="index 2"/>
    <w:lsdException w:qFormat="1" w:uiPriority="99" w:name="index 3"/>
    <w:lsdException w:qFormat="1" w:uiPriority="99" w:name="index 4"/>
    <w:lsdException w:qFormat="1" w:uiPriority="99" w:name="index 5"/>
    <w:lsdException w:qFormat="1" w:uiPriority="99" w:name="index 6"/>
    <w:lsdException w:qFormat="1" w:uiPriority="99" w:name="index 7"/>
    <w:lsdException w:qFormat="1" w:uiPriority="99" w:name="index 8"/>
    <w:lsdException w:qFormat="1" w:uiPriority="99" w:name="index 9"/>
    <w:lsdException w:qFormat="1" w:uiPriority="39" w:semiHidden="0" w:name="toc 1"/>
    <w:lsdException w:qFormat="1" w:uiPriority="39"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nhideWhenUsed="0" w:uiPriority="0" w:name="footnote text"/>
    <w:lsdException w:qFormat="1" w:uiPriority="99" w:semiHidden="0" w:name="annotation text"/>
    <w:lsdException w:qFormat="1" w:uiPriority="99" w:semiHidden="0" w:name="header"/>
    <w:lsdException w:qFormat="1" w:uiPriority="99" w:semiHidden="0" w:name="footer"/>
    <w:lsdException w:qFormat="1" w:uiPriority="99" w:name="index heading"/>
    <w:lsdException w:qFormat="1" w:uiPriority="35" w:semiHidden="0" w:name="caption"/>
    <w:lsdException w:qFormat="1" w:uiPriority="99" w:name="table of figures"/>
    <w:lsdException w:qFormat="1" w:uiPriority="99" w:name="envelope address"/>
    <w:lsdException w:qFormat="1" w:uiPriority="99" w:name="envelope return"/>
    <w:lsdException w:qFormat="1" w:unhideWhenUsed="0" w:uiPriority="0" w:name="footnote reference"/>
    <w:lsdException w:qFormat="1" w:uiPriority="99" w:name="annotation reference"/>
    <w:lsdException w:uiPriority="99" w:name="line number"/>
    <w:lsdException w:uiPriority="99" w:name="page number"/>
    <w:lsdException w:uiPriority="99" w:name="endnote reference"/>
    <w:lsdException w:qFormat="1" w:uiPriority="99" w:name="endnote text"/>
    <w:lsdException w:qFormat="1" w:uiPriority="99" w:name="table of authorities"/>
    <w:lsdException w:qFormat="1" w:uiPriority="99" w:name="macro"/>
    <w:lsdException w:qFormat="1" w:uiPriority="99" w:name="toa heading"/>
    <w:lsdException w:qFormat="1" w:uiPriority="99" w:name="List"/>
    <w:lsdException w:qFormat="1" w:uiPriority="99" w:name="List Bullet"/>
    <w:lsdException w:qFormat="1" w:uiPriority="99" w:name="List Number"/>
    <w:lsdException w:qFormat="1" w:uiPriority="99" w:name="List 2"/>
    <w:lsdException w:qFormat="1" w:uiPriority="99" w:name="List 3"/>
    <w:lsdException w:qFormat="1" w:uiPriority="99" w:name="List 4"/>
    <w:lsdException w:qFormat="1" w:uiPriority="99" w:name="List 5"/>
    <w:lsdException w:qFormat="1" w:uiPriority="99" w:name="List Bullet 2"/>
    <w:lsdException w:qFormat="1" w:uiPriority="99" w:name="List Bullet 3"/>
    <w:lsdException w:qFormat="1" w:uiPriority="99" w:name="List Bullet 4"/>
    <w:lsdException w:qFormat="1" w:uiPriority="99" w:name="List Bullet 5"/>
    <w:lsdException w:qFormat="1" w:uiPriority="99" w:name="List Number 2"/>
    <w:lsdException w:qFormat="1" w:uiPriority="99" w:name="List Number 3"/>
    <w:lsdException w:qFormat="1" w:uiPriority="99" w:name="List Number 4"/>
    <w:lsdException w:qFormat="1" w:uiPriority="99" w:name="List Number 5"/>
    <w:lsdException w:qFormat="1" w:unhideWhenUsed="0" w:uiPriority="0" w:semiHidden="0" w:name="Title"/>
    <w:lsdException w:qFormat="1" w:uiPriority="99" w:name="Closing"/>
    <w:lsdException w:qFormat="1" w:uiPriority="99" w:name="Signature"/>
    <w:lsdException w:qFormat="1" w:uiPriority="1" w:name="Default Paragraph Font"/>
    <w:lsdException w:qFormat="1" w:uiPriority="99" w:name="Body Text"/>
    <w:lsdException w:qFormat="1" w:uiPriority="99" w:name="Body Text Indent"/>
    <w:lsdException w:qFormat="1" w:uiPriority="99" w:name="List Continue"/>
    <w:lsdException w:qFormat="1" w:uiPriority="99" w:name="List Continue 2"/>
    <w:lsdException w:qFormat="1" w:uiPriority="99" w:name="List Continue 3"/>
    <w:lsdException w:qFormat="1" w:uiPriority="99" w:name="List Continue 4"/>
    <w:lsdException w:qFormat="1" w:uiPriority="99" w:name="List Continue 5"/>
    <w:lsdException w:qFormat="1" w:uiPriority="99" w:name="Message Header"/>
    <w:lsdException w:qFormat="1" w:unhideWhenUsed="0" w:uiPriority="11" w:semiHidden="0" w:name="Subtitle"/>
    <w:lsdException w:qFormat="1" w:uiPriority="99" w:name="Salutation"/>
    <w:lsdException w:qFormat="1" w:uiPriority="99" w:name="Date"/>
    <w:lsdException w:qFormat="1" w:uiPriority="99" w:name="Body Text First Indent"/>
    <w:lsdException w:qFormat="1" w:uiPriority="99" w:name="Body Text First Indent 2"/>
    <w:lsdException w:qFormat="1" w:uiPriority="99" w:name="Note Heading"/>
    <w:lsdException w:qFormat="1" w:uiPriority="99" w:name="Body Text 2"/>
    <w:lsdException w:qFormat="1" w:uiPriority="99" w:name="Body Text 3"/>
    <w:lsdException w:qFormat="1" w:uiPriority="99" w:name="Body Text Indent 2"/>
    <w:lsdException w:qFormat="1" w:uiPriority="99" w:name="Body Text Indent 3"/>
    <w:lsdException w:qFormat="1"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name="Document Map"/>
    <w:lsdException w:qFormat="1" w:uiPriority="99" w:name="Plain Text"/>
    <w:lsdException w:qFormat="1" w:uiPriority="99" w:name="E-mail Signature"/>
    <w:lsdException w:qFormat="1" w:uiPriority="99" w:semiHidden="0" w:name="Normal (Web)"/>
    <w:lsdException w:uiPriority="99" w:name="HTML Acronym"/>
    <w:lsdException w:qFormat="1" w:uiPriority="99" w:name="HTML Address"/>
    <w:lsdException w:uiPriority="99" w:name="HTML Cite"/>
    <w:lsdException w:uiPriority="99" w:name="HTML Code"/>
    <w:lsdException w:uiPriority="99" w:name="HTML Definition"/>
    <w:lsdException w:uiPriority="99" w:name="HTML Keyboard"/>
    <w:lsdException w:qFormat="1"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qFormat="1" w:uiPriority="99" w:semiHidden="0"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iPriority="99" w:name="Quote"/>
    <w:lsdException w:qFormat="1" w:uiPriority="99"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eepNext w:val="0"/>
      <w:keepLines w:val="0"/>
      <w:pageBreakBefore w:val="0"/>
      <w:widowControl w:val="0"/>
      <w:kinsoku/>
      <w:wordWrap/>
      <w:overflowPunct/>
      <w:topLinePunct w:val="0"/>
      <w:autoSpaceDE/>
      <w:autoSpaceDN/>
      <w:bidi w:val="0"/>
      <w:adjustRightInd/>
      <w:snapToGrid/>
      <w:spacing w:beforeAutospacing="0" w:afterAutospacing="0" w:line="360" w:lineRule="auto"/>
      <w:ind w:firstLine="560" w:firstLineChars="200"/>
      <w:jc w:val="both"/>
      <w:textAlignment w:val="auto"/>
    </w:pPr>
    <w:rPr>
      <w:rFonts w:ascii="Times New Roman" w:hAnsi="Times New Roman" w:cs="Times New Roman" w:eastAsiaTheme="minorEastAsia"/>
      <w:color w:val="auto"/>
      <w:kern w:val="2"/>
      <w:sz w:val="28"/>
      <w:szCs w:val="28"/>
      <w:lang w:val="en-US" w:eastAsia="zh-CN" w:bidi="ar-SA"/>
    </w:rPr>
  </w:style>
  <w:style w:type="paragraph" w:styleId="3">
    <w:name w:val="heading 1"/>
    <w:basedOn w:val="1"/>
    <w:next w:val="1"/>
    <w:link w:val="99"/>
    <w:qFormat/>
    <w:uiPriority w:val="9"/>
    <w:pPr>
      <w:keepNext/>
      <w:keepLines/>
      <w:ind w:firstLine="0" w:firstLineChars="0"/>
      <w:outlineLvl w:val="0"/>
    </w:pPr>
    <w:rPr>
      <w:bCs/>
      <w:kern w:val="44"/>
      <w:szCs w:val="44"/>
    </w:rPr>
  </w:style>
  <w:style w:type="paragraph" w:styleId="4">
    <w:name w:val="heading 2"/>
    <w:basedOn w:val="1"/>
    <w:next w:val="1"/>
    <w:link w:val="101"/>
    <w:unhideWhenUsed/>
    <w:qFormat/>
    <w:uiPriority w:val="9"/>
    <w:pPr>
      <w:keepNext/>
      <w:keepLines/>
      <w:spacing w:before="260" w:after="260" w:line="416" w:lineRule="auto"/>
      <w:outlineLvl w:val="1"/>
    </w:pPr>
    <w:rPr>
      <w:rFonts w:eastAsia="黑体" w:asciiTheme="majorHAnsi" w:hAnsiTheme="majorHAnsi" w:cstheme="majorBidi"/>
      <w:b/>
      <w:bCs/>
      <w:sz w:val="24"/>
      <w:szCs w:val="32"/>
    </w:rPr>
  </w:style>
  <w:style w:type="paragraph" w:styleId="5">
    <w:name w:val="heading 3"/>
    <w:basedOn w:val="1"/>
    <w:next w:val="1"/>
    <w:link w:val="102"/>
    <w:unhideWhenUsed/>
    <w:qFormat/>
    <w:uiPriority w:val="9"/>
    <w:pPr>
      <w:keepNext/>
      <w:keepLines/>
      <w:spacing w:before="260" w:after="260" w:line="416" w:lineRule="auto"/>
      <w:outlineLvl w:val="2"/>
    </w:pPr>
    <w:rPr>
      <w:b/>
      <w:bCs/>
      <w:sz w:val="32"/>
      <w:szCs w:val="32"/>
    </w:rPr>
  </w:style>
  <w:style w:type="paragraph" w:styleId="6">
    <w:name w:val="heading 4"/>
    <w:basedOn w:val="1"/>
    <w:next w:val="1"/>
    <w:link w:val="103"/>
    <w:unhideWhenUsed/>
    <w:qFormat/>
    <w:uiPriority w:val="9"/>
    <w:pPr>
      <w:keepNext/>
      <w:keepLines/>
      <w:spacing w:before="280" w:after="290" w:line="376" w:lineRule="auto"/>
      <w:outlineLvl w:val="3"/>
    </w:pPr>
    <w:rPr>
      <w:rFonts w:asciiTheme="majorHAnsi" w:hAnsiTheme="majorHAnsi" w:eastAsiaTheme="majorEastAsia" w:cstheme="majorBidi"/>
      <w:b/>
      <w:bCs/>
      <w:szCs w:val="28"/>
    </w:rPr>
  </w:style>
  <w:style w:type="paragraph" w:styleId="7">
    <w:name w:val="heading 5"/>
    <w:basedOn w:val="1"/>
    <w:next w:val="1"/>
    <w:link w:val="104"/>
    <w:unhideWhenUsed/>
    <w:qFormat/>
    <w:uiPriority w:val="9"/>
    <w:pPr>
      <w:keepNext/>
      <w:keepLines/>
      <w:spacing w:before="280" w:after="290" w:line="376" w:lineRule="auto"/>
      <w:outlineLvl w:val="4"/>
    </w:pPr>
    <w:rPr>
      <w:b/>
      <w:bCs/>
      <w:szCs w:val="28"/>
    </w:rPr>
  </w:style>
  <w:style w:type="paragraph" w:styleId="8">
    <w:name w:val="heading 6"/>
    <w:basedOn w:val="1"/>
    <w:next w:val="1"/>
    <w:link w:val="105"/>
    <w:unhideWhenUsed/>
    <w:qFormat/>
    <w:uiPriority w:val="9"/>
    <w:pPr>
      <w:keepNext/>
      <w:keepLines/>
      <w:spacing w:before="240" w:after="64" w:line="320" w:lineRule="auto"/>
      <w:outlineLvl w:val="5"/>
    </w:pPr>
    <w:rPr>
      <w:rFonts w:asciiTheme="majorHAnsi" w:hAnsiTheme="majorHAnsi" w:eastAsiaTheme="majorEastAsia" w:cstheme="majorBidi"/>
      <w:b/>
      <w:bCs/>
      <w:sz w:val="24"/>
    </w:rPr>
  </w:style>
  <w:style w:type="paragraph" w:styleId="9">
    <w:name w:val="heading 7"/>
    <w:basedOn w:val="1"/>
    <w:next w:val="1"/>
    <w:link w:val="136"/>
    <w:semiHidden/>
    <w:unhideWhenUsed/>
    <w:qFormat/>
    <w:uiPriority w:val="9"/>
    <w:pPr>
      <w:keepNext/>
      <w:keepLines/>
      <w:spacing w:before="240" w:after="64" w:line="320" w:lineRule="atLeast"/>
      <w:outlineLvl w:val="6"/>
    </w:pPr>
    <w:rPr>
      <w:b/>
      <w:bCs/>
      <w:sz w:val="24"/>
    </w:rPr>
  </w:style>
  <w:style w:type="paragraph" w:styleId="10">
    <w:name w:val="heading 8"/>
    <w:basedOn w:val="1"/>
    <w:next w:val="1"/>
    <w:link w:val="137"/>
    <w:semiHidden/>
    <w:unhideWhenUsed/>
    <w:qFormat/>
    <w:uiPriority w:val="9"/>
    <w:pPr>
      <w:keepNext/>
      <w:keepLines/>
      <w:spacing w:before="240" w:after="64" w:line="320" w:lineRule="atLeast"/>
      <w:outlineLvl w:val="7"/>
    </w:pPr>
    <w:rPr>
      <w:rFonts w:asciiTheme="majorHAnsi" w:hAnsiTheme="majorHAnsi" w:eastAsiaTheme="majorEastAsia" w:cstheme="majorBidi"/>
      <w:sz w:val="24"/>
    </w:rPr>
  </w:style>
  <w:style w:type="paragraph" w:styleId="11">
    <w:name w:val="heading 9"/>
    <w:basedOn w:val="1"/>
    <w:next w:val="1"/>
    <w:link w:val="138"/>
    <w:semiHidden/>
    <w:unhideWhenUsed/>
    <w:qFormat/>
    <w:uiPriority w:val="9"/>
    <w:pPr>
      <w:keepNext/>
      <w:keepLines/>
      <w:spacing w:before="240" w:after="64" w:line="320" w:lineRule="atLeast"/>
      <w:outlineLvl w:val="8"/>
    </w:pPr>
    <w:rPr>
      <w:rFonts w:asciiTheme="majorHAnsi" w:hAnsiTheme="majorHAnsi" w:eastAsiaTheme="majorEastAsia" w:cstheme="majorBidi"/>
      <w:sz w:val="21"/>
      <w:szCs w:val="21"/>
    </w:rPr>
  </w:style>
  <w:style w:type="character" w:default="1" w:styleId="90">
    <w:name w:val="Default Paragraph Font"/>
    <w:semiHidden/>
    <w:unhideWhenUsed/>
    <w:qFormat/>
    <w:uiPriority w:val="1"/>
  </w:style>
  <w:style w:type="table" w:default="1" w:styleId="88">
    <w:name w:val="Normal Table"/>
    <w:semiHidden/>
    <w:unhideWhenUsed/>
    <w:qFormat/>
    <w:uiPriority w:val="99"/>
    <w:pPr>
      <w:keepNext w:val="0"/>
      <w:keepLines w:val="0"/>
      <w:widowControl/>
      <w:suppressLineNumbers w:val="0"/>
      <w:spacing w:before="0" w:beforeAutospacing="0" w:after="0" w:afterAutospacing="0"/>
      <w:ind w:left="0" w:right="0"/>
    </w:pPr>
    <w:rPr>
      <w:rFonts w:hint="default" w:ascii="Calibri" w:hAnsi="Calibri" w:cs="Times New Roman"/>
      <w:sz w:val="20"/>
      <w:szCs w:val="20"/>
    </w:rPr>
    <w:tblPr>
      <w:tblCellMar>
        <w:top w:w="0" w:type="dxa"/>
        <w:left w:w="108" w:type="dxa"/>
        <w:bottom w:w="0" w:type="dxa"/>
        <w:right w:w="108" w:type="dxa"/>
      </w:tblCellMar>
    </w:tblPr>
  </w:style>
  <w:style w:type="paragraph" w:styleId="2">
    <w:name w:val="macro"/>
    <w:link w:val="143"/>
    <w:semiHidden/>
    <w:unhideWhenUsed/>
    <w:qFormat/>
    <w:uiPriority w:val="99"/>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ind w:firstLine="200" w:firstLineChars="200"/>
    </w:pPr>
    <w:rPr>
      <w:rFonts w:ascii="Courier New" w:hAnsi="Courier New" w:eastAsia="宋体" w:cs="Courier New"/>
      <w:kern w:val="2"/>
      <w:sz w:val="24"/>
      <w:szCs w:val="24"/>
      <w:lang w:val="en-US" w:eastAsia="zh-CN" w:bidi="ar-SA"/>
    </w:rPr>
  </w:style>
  <w:style w:type="paragraph" w:styleId="12">
    <w:name w:val="List 3"/>
    <w:basedOn w:val="1"/>
    <w:semiHidden/>
    <w:unhideWhenUsed/>
    <w:qFormat/>
    <w:uiPriority w:val="99"/>
    <w:pPr>
      <w:ind w:left="100" w:leftChars="400" w:hanging="200" w:hangingChars="200"/>
      <w:contextualSpacing/>
    </w:pPr>
  </w:style>
  <w:style w:type="paragraph" w:styleId="13">
    <w:name w:val="toc 7"/>
    <w:basedOn w:val="1"/>
    <w:next w:val="1"/>
    <w:unhideWhenUsed/>
    <w:qFormat/>
    <w:uiPriority w:val="39"/>
    <w:pPr>
      <w:ind w:left="1260"/>
      <w:jc w:val="left"/>
    </w:pPr>
    <w:rPr>
      <w:rFonts w:asciiTheme="minorHAnsi" w:hAnsiTheme="minorHAnsi" w:cstheme="minorHAnsi"/>
      <w:sz w:val="18"/>
      <w:szCs w:val="18"/>
    </w:rPr>
  </w:style>
  <w:style w:type="paragraph" w:styleId="14">
    <w:name w:val="List Number 2"/>
    <w:basedOn w:val="1"/>
    <w:semiHidden/>
    <w:unhideWhenUsed/>
    <w:qFormat/>
    <w:uiPriority w:val="99"/>
    <w:pPr>
      <w:numPr>
        <w:ilvl w:val="0"/>
        <w:numId w:val="1"/>
      </w:numPr>
      <w:contextualSpacing/>
    </w:pPr>
  </w:style>
  <w:style w:type="paragraph" w:styleId="15">
    <w:name w:val="table of authorities"/>
    <w:basedOn w:val="1"/>
    <w:next w:val="1"/>
    <w:semiHidden/>
    <w:unhideWhenUsed/>
    <w:qFormat/>
    <w:uiPriority w:val="99"/>
    <w:pPr>
      <w:ind w:left="420" w:leftChars="200" w:firstLine="0"/>
    </w:pPr>
  </w:style>
  <w:style w:type="paragraph" w:styleId="16">
    <w:name w:val="Note Heading"/>
    <w:basedOn w:val="1"/>
    <w:next w:val="1"/>
    <w:link w:val="162"/>
    <w:semiHidden/>
    <w:unhideWhenUsed/>
    <w:qFormat/>
    <w:uiPriority w:val="99"/>
    <w:pPr>
      <w:jc w:val="center"/>
    </w:pPr>
  </w:style>
  <w:style w:type="paragraph" w:styleId="17">
    <w:name w:val="List Bullet 4"/>
    <w:basedOn w:val="1"/>
    <w:semiHidden/>
    <w:unhideWhenUsed/>
    <w:qFormat/>
    <w:uiPriority w:val="99"/>
    <w:pPr>
      <w:numPr>
        <w:ilvl w:val="0"/>
        <w:numId w:val="2"/>
      </w:numPr>
      <w:contextualSpacing/>
    </w:pPr>
  </w:style>
  <w:style w:type="paragraph" w:styleId="18">
    <w:name w:val="index 8"/>
    <w:basedOn w:val="1"/>
    <w:next w:val="1"/>
    <w:semiHidden/>
    <w:unhideWhenUsed/>
    <w:qFormat/>
    <w:uiPriority w:val="99"/>
    <w:pPr>
      <w:ind w:left="1400" w:leftChars="1400" w:firstLine="0"/>
    </w:pPr>
  </w:style>
  <w:style w:type="paragraph" w:styleId="19">
    <w:name w:val="E-mail Signature"/>
    <w:basedOn w:val="1"/>
    <w:link w:val="141"/>
    <w:semiHidden/>
    <w:unhideWhenUsed/>
    <w:qFormat/>
    <w:uiPriority w:val="99"/>
  </w:style>
  <w:style w:type="paragraph" w:styleId="20">
    <w:name w:val="List Number"/>
    <w:basedOn w:val="1"/>
    <w:semiHidden/>
    <w:unhideWhenUsed/>
    <w:qFormat/>
    <w:uiPriority w:val="99"/>
    <w:pPr>
      <w:numPr>
        <w:ilvl w:val="0"/>
        <w:numId w:val="3"/>
      </w:numPr>
      <w:contextualSpacing/>
    </w:pPr>
  </w:style>
  <w:style w:type="paragraph" w:styleId="21">
    <w:name w:val="Normal Indent"/>
    <w:basedOn w:val="1"/>
    <w:qFormat/>
    <w:uiPriority w:val="0"/>
    <w:pPr>
      <w:ind w:firstLine="420"/>
    </w:pPr>
    <w:rPr>
      <w:szCs w:val="20"/>
    </w:rPr>
  </w:style>
  <w:style w:type="paragraph" w:styleId="22">
    <w:name w:val="caption"/>
    <w:basedOn w:val="1"/>
    <w:next w:val="1"/>
    <w:unhideWhenUsed/>
    <w:qFormat/>
    <w:uiPriority w:val="35"/>
    <w:rPr>
      <w:rFonts w:eastAsia="黑体" w:asciiTheme="majorHAnsi" w:hAnsiTheme="majorHAnsi" w:cstheme="majorBidi"/>
      <w:sz w:val="20"/>
      <w:szCs w:val="20"/>
    </w:rPr>
  </w:style>
  <w:style w:type="paragraph" w:styleId="23">
    <w:name w:val="index 5"/>
    <w:basedOn w:val="1"/>
    <w:next w:val="1"/>
    <w:semiHidden/>
    <w:unhideWhenUsed/>
    <w:qFormat/>
    <w:uiPriority w:val="99"/>
    <w:pPr>
      <w:ind w:left="800" w:leftChars="800" w:firstLine="0"/>
    </w:pPr>
  </w:style>
  <w:style w:type="paragraph" w:styleId="24">
    <w:name w:val="List Bullet"/>
    <w:basedOn w:val="1"/>
    <w:semiHidden/>
    <w:unhideWhenUsed/>
    <w:qFormat/>
    <w:uiPriority w:val="99"/>
    <w:pPr>
      <w:numPr>
        <w:ilvl w:val="0"/>
        <w:numId w:val="4"/>
      </w:numPr>
      <w:contextualSpacing/>
    </w:pPr>
  </w:style>
  <w:style w:type="paragraph" w:styleId="25">
    <w:name w:val="envelope address"/>
    <w:basedOn w:val="1"/>
    <w:semiHidden/>
    <w:unhideWhenUsed/>
    <w:qFormat/>
    <w:uiPriority w:val="99"/>
    <w:pPr>
      <w:framePr w:w="7920" w:h="1980" w:hRule="exact" w:hSpace="180" w:wrap="auto" w:vAnchor="margin" w:hAnchor="page" w:xAlign="center" w:yAlign="bottom"/>
      <w:snapToGrid w:val="0"/>
      <w:ind w:left="100" w:leftChars="1400"/>
    </w:pPr>
    <w:rPr>
      <w:rFonts w:asciiTheme="majorHAnsi" w:hAnsiTheme="majorHAnsi" w:eastAsiaTheme="majorEastAsia" w:cstheme="majorBidi"/>
      <w:sz w:val="24"/>
    </w:rPr>
  </w:style>
  <w:style w:type="paragraph" w:styleId="26">
    <w:name w:val="Document Map"/>
    <w:basedOn w:val="1"/>
    <w:link w:val="150"/>
    <w:semiHidden/>
    <w:unhideWhenUsed/>
    <w:qFormat/>
    <w:uiPriority w:val="99"/>
    <w:rPr>
      <w:rFonts w:ascii="Microsoft YaHei UI" w:eastAsia="Microsoft YaHei UI"/>
      <w:sz w:val="18"/>
      <w:szCs w:val="18"/>
    </w:rPr>
  </w:style>
  <w:style w:type="paragraph" w:styleId="27">
    <w:name w:val="toa heading"/>
    <w:basedOn w:val="1"/>
    <w:next w:val="1"/>
    <w:semiHidden/>
    <w:unhideWhenUsed/>
    <w:qFormat/>
    <w:uiPriority w:val="99"/>
    <w:pPr>
      <w:spacing w:before="120"/>
    </w:pPr>
    <w:rPr>
      <w:rFonts w:asciiTheme="majorHAnsi" w:hAnsiTheme="majorHAnsi" w:eastAsiaTheme="majorEastAsia" w:cstheme="majorBidi"/>
      <w:sz w:val="24"/>
    </w:rPr>
  </w:style>
  <w:style w:type="paragraph" w:styleId="28">
    <w:name w:val="annotation text"/>
    <w:basedOn w:val="1"/>
    <w:link w:val="165"/>
    <w:unhideWhenUsed/>
    <w:qFormat/>
    <w:uiPriority w:val="99"/>
    <w:pPr>
      <w:keepNext w:val="0"/>
      <w:keepLines w:val="0"/>
      <w:widowControl w:val="0"/>
      <w:suppressLineNumbers w:val="0"/>
      <w:spacing w:before="0" w:beforeAutospacing="0" w:after="0" w:afterAutospacing="0"/>
      <w:ind w:left="0" w:right="0"/>
      <w:jc w:val="left"/>
    </w:pPr>
    <w:rPr>
      <w:rFonts w:hint="default" w:ascii="Calibri" w:hAnsi="Calibri" w:eastAsia="宋体" w:cs="Times New Roman"/>
      <w:kern w:val="2"/>
      <w:sz w:val="21"/>
      <w:szCs w:val="24"/>
      <w:lang w:val="en-US" w:eastAsia="zh-CN" w:bidi="ar"/>
    </w:rPr>
  </w:style>
  <w:style w:type="paragraph" w:styleId="29">
    <w:name w:val="index 6"/>
    <w:basedOn w:val="1"/>
    <w:next w:val="1"/>
    <w:semiHidden/>
    <w:unhideWhenUsed/>
    <w:qFormat/>
    <w:uiPriority w:val="99"/>
    <w:pPr>
      <w:ind w:left="1000" w:leftChars="1000" w:firstLine="0"/>
    </w:pPr>
  </w:style>
  <w:style w:type="paragraph" w:styleId="30">
    <w:name w:val="Salutation"/>
    <w:basedOn w:val="1"/>
    <w:next w:val="1"/>
    <w:link w:val="139"/>
    <w:semiHidden/>
    <w:unhideWhenUsed/>
    <w:qFormat/>
    <w:uiPriority w:val="99"/>
  </w:style>
  <w:style w:type="paragraph" w:styleId="31">
    <w:name w:val="Body Text 3"/>
    <w:basedOn w:val="1"/>
    <w:link w:val="156"/>
    <w:semiHidden/>
    <w:unhideWhenUsed/>
    <w:qFormat/>
    <w:uiPriority w:val="99"/>
    <w:pPr>
      <w:spacing w:after="120"/>
    </w:pPr>
    <w:rPr>
      <w:sz w:val="16"/>
      <w:szCs w:val="16"/>
    </w:rPr>
  </w:style>
  <w:style w:type="paragraph" w:styleId="32">
    <w:name w:val="Closing"/>
    <w:basedOn w:val="1"/>
    <w:link w:val="144"/>
    <w:semiHidden/>
    <w:unhideWhenUsed/>
    <w:qFormat/>
    <w:uiPriority w:val="99"/>
    <w:pPr>
      <w:ind w:left="100" w:leftChars="2100"/>
    </w:pPr>
  </w:style>
  <w:style w:type="paragraph" w:styleId="33">
    <w:name w:val="List Bullet 3"/>
    <w:basedOn w:val="1"/>
    <w:semiHidden/>
    <w:unhideWhenUsed/>
    <w:qFormat/>
    <w:uiPriority w:val="99"/>
    <w:pPr>
      <w:numPr>
        <w:ilvl w:val="0"/>
        <w:numId w:val="5"/>
      </w:numPr>
      <w:contextualSpacing/>
    </w:pPr>
  </w:style>
  <w:style w:type="paragraph" w:styleId="34">
    <w:name w:val="Body Text"/>
    <w:basedOn w:val="1"/>
    <w:link w:val="154"/>
    <w:semiHidden/>
    <w:unhideWhenUsed/>
    <w:qFormat/>
    <w:uiPriority w:val="99"/>
    <w:pPr>
      <w:spacing w:after="120"/>
    </w:pPr>
  </w:style>
  <w:style w:type="paragraph" w:styleId="35">
    <w:name w:val="Body Text Indent"/>
    <w:basedOn w:val="1"/>
    <w:link w:val="158"/>
    <w:semiHidden/>
    <w:unhideWhenUsed/>
    <w:qFormat/>
    <w:uiPriority w:val="99"/>
    <w:pPr>
      <w:spacing w:after="120"/>
      <w:ind w:left="420" w:leftChars="200"/>
    </w:pPr>
  </w:style>
  <w:style w:type="paragraph" w:styleId="36">
    <w:name w:val="List Number 3"/>
    <w:basedOn w:val="1"/>
    <w:semiHidden/>
    <w:unhideWhenUsed/>
    <w:qFormat/>
    <w:uiPriority w:val="99"/>
    <w:pPr>
      <w:numPr>
        <w:ilvl w:val="0"/>
        <w:numId w:val="6"/>
      </w:numPr>
      <w:contextualSpacing/>
    </w:pPr>
  </w:style>
  <w:style w:type="paragraph" w:styleId="37">
    <w:name w:val="List 2"/>
    <w:basedOn w:val="1"/>
    <w:semiHidden/>
    <w:unhideWhenUsed/>
    <w:qFormat/>
    <w:uiPriority w:val="99"/>
    <w:pPr>
      <w:ind w:left="100" w:leftChars="200" w:hanging="200" w:hangingChars="200"/>
      <w:contextualSpacing/>
    </w:pPr>
  </w:style>
  <w:style w:type="paragraph" w:styleId="38">
    <w:name w:val="List Continue"/>
    <w:basedOn w:val="1"/>
    <w:semiHidden/>
    <w:unhideWhenUsed/>
    <w:qFormat/>
    <w:uiPriority w:val="99"/>
    <w:pPr>
      <w:spacing w:after="120"/>
      <w:ind w:left="420" w:leftChars="200"/>
      <w:contextualSpacing/>
    </w:pPr>
  </w:style>
  <w:style w:type="paragraph" w:styleId="39">
    <w:name w:val="Block Text"/>
    <w:basedOn w:val="1"/>
    <w:semiHidden/>
    <w:unhideWhenUsed/>
    <w:qFormat/>
    <w:uiPriority w:val="99"/>
    <w:pPr>
      <w:spacing w:after="120"/>
      <w:ind w:left="1440" w:leftChars="700" w:right="1440" w:rightChars="700"/>
    </w:pPr>
  </w:style>
  <w:style w:type="paragraph" w:styleId="40">
    <w:name w:val="List Bullet 2"/>
    <w:basedOn w:val="1"/>
    <w:semiHidden/>
    <w:unhideWhenUsed/>
    <w:qFormat/>
    <w:uiPriority w:val="99"/>
    <w:pPr>
      <w:numPr>
        <w:ilvl w:val="0"/>
        <w:numId w:val="7"/>
      </w:numPr>
      <w:contextualSpacing/>
    </w:pPr>
  </w:style>
  <w:style w:type="paragraph" w:styleId="41">
    <w:name w:val="HTML Address"/>
    <w:basedOn w:val="1"/>
    <w:link w:val="133"/>
    <w:semiHidden/>
    <w:unhideWhenUsed/>
    <w:qFormat/>
    <w:uiPriority w:val="99"/>
    <w:rPr>
      <w:i/>
      <w:iCs/>
    </w:rPr>
  </w:style>
  <w:style w:type="paragraph" w:styleId="42">
    <w:name w:val="index 4"/>
    <w:basedOn w:val="1"/>
    <w:next w:val="1"/>
    <w:semiHidden/>
    <w:unhideWhenUsed/>
    <w:qFormat/>
    <w:uiPriority w:val="99"/>
    <w:pPr>
      <w:ind w:left="600" w:leftChars="600" w:firstLine="0"/>
    </w:pPr>
  </w:style>
  <w:style w:type="paragraph" w:styleId="43">
    <w:name w:val="toc 5"/>
    <w:basedOn w:val="1"/>
    <w:next w:val="1"/>
    <w:unhideWhenUsed/>
    <w:qFormat/>
    <w:uiPriority w:val="39"/>
    <w:pPr>
      <w:ind w:left="840"/>
      <w:jc w:val="left"/>
    </w:pPr>
    <w:rPr>
      <w:rFonts w:asciiTheme="minorHAnsi" w:hAnsiTheme="minorHAnsi" w:cstheme="minorHAnsi"/>
      <w:sz w:val="18"/>
      <w:szCs w:val="18"/>
    </w:rPr>
  </w:style>
  <w:style w:type="paragraph" w:styleId="44">
    <w:name w:val="toc 3"/>
    <w:basedOn w:val="1"/>
    <w:next w:val="1"/>
    <w:unhideWhenUsed/>
    <w:qFormat/>
    <w:uiPriority w:val="39"/>
    <w:pPr>
      <w:ind w:left="420"/>
      <w:jc w:val="left"/>
    </w:pPr>
    <w:rPr>
      <w:rFonts w:asciiTheme="minorHAnsi" w:hAnsiTheme="minorHAnsi" w:cstheme="minorHAnsi"/>
      <w:i/>
      <w:iCs/>
      <w:sz w:val="20"/>
      <w:szCs w:val="20"/>
    </w:rPr>
  </w:style>
  <w:style w:type="paragraph" w:styleId="45">
    <w:name w:val="Plain Text"/>
    <w:basedOn w:val="1"/>
    <w:link w:val="140"/>
    <w:semiHidden/>
    <w:unhideWhenUsed/>
    <w:qFormat/>
    <w:uiPriority w:val="99"/>
    <w:rPr>
      <w:rFonts w:hAnsi="Courier New" w:cs="Courier New" w:asciiTheme="minorEastAsia" w:eastAsiaTheme="minorEastAsia"/>
    </w:rPr>
  </w:style>
  <w:style w:type="paragraph" w:styleId="46">
    <w:name w:val="List Bullet 5"/>
    <w:basedOn w:val="1"/>
    <w:semiHidden/>
    <w:unhideWhenUsed/>
    <w:qFormat/>
    <w:uiPriority w:val="99"/>
    <w:pPr>
      <w:numPr>
        <w:ilvl w:val="0"/>
        <w:numId w:val="8"/>
      </w:numPr>
      <w:contextualSpacing/>
    </w:pPr>
  </w:style>
  <w:style w:type="paragraph" w:styleId="47">
    <w:name w:val="List Number 4"/>
    <w:basedOn w:val="1"/>
    <w:semiHidden/>
    <w:unhideWhenUsed/>
    <w:qFormat/>
    <w:uiPriority w:val="99"/>
    <w:pPr>
      <w:numPr>
        <w:ilvl w:val="0"/>
        <w:numId w:val="9"/>
      </w:numPr>
      <w:contextualSpacing/>
    </w:pPr>
  </w:style>
  <w:style w:type="paragraph" w:styleId="48">
    <w:name w:val="toc 8"/>
    <w:basedOn w:val="1"/>
    <w:next w:val="1"/>
    <w:unhideWhenUsed/>
    <w:qFormat/>
    <w:uiPriority w:val="39"/>
    <w:pPr>
      <w:ind w:left="1470"/>
      <w:jc w:val="left"/>
    </w:pPr>
    <w:rPr>
      <w:rFonts w:asciiTheme="minorHAnsi" w:hAnsiTheme="minorHAnsi" w:cstheme="minorHAnsi"/>
      <w:sz w:val="18"/>
      <w:szCs w:val="18"/>
    </w:rPr>
  </w:style>
  <w:style w:type="paragraph" w:styleId="49">
    <w:name w:val="index 3"/>
    <w:basedOn w:val="1"/>
    <w:next w:val="1"/>
    <w:semiHidden/>
    <w:unhideWhenUsed/>
    <w:qFormat/>
    <w:uiPriority w:val="99"/>
    <w:pPr>
      <w:ind w:left="400" w:leftChars="400" w:firstLine="0"/>
    </w:pPr>
  </w:style>
  <w:style w:type="paragraph" w:styleId="50">
    <w:name w:val="Date"/>
    <w:basedOn w:val="1"/>
    <w:next w:val="1"/>
    <w:link w:val="118"/>
    <w:semiHidden/>
    <w:unhideWhenUsed/>
    <w:qFormat/>
    <w:uiPriority w:val="99"/>
    <w:pPr>
      <w:ind w:left="100" w:leftChars="2500"/>
    </w:pPr>
  </w:style>
  <w:style w:type="paragraph" w:styleId="51">
    <w:name w:val="Body Text Indent 2"/>
    <w:basedOn w:val="1"/>
    <w:link w:val="160"/>
    <w:semiHidden/>
    <w:unhideWhenUsed/>
    <w:qFormat/>
    <w:uiPriority w:val="99"/>
    <w:pPr>
      <w:spacing w:after="120" w:line="480" w:lineRule="auto"/>
      <w:ind w:left="420" w:leftChars="200"/>
    </w:pPr>
  </w:style>
  <w:style w:type="paragraph" w:styleId="52">
    <w:name w:val="endnote text"/>
    <w:basedOn w:val="1"/>
    <w:link w:val="149"/>
    <w:semiHidden/>
    <w:unhideWhenUsed/>
    <w:qFormat/>
    <w:uiPriority w:val="99"/>
    <w:pPr>
      <w:snapToGrid w:val="0"/>
      <w:jc w:val="left"/>
    </w:pPr>
  </w:style>
  <w:style w:type="paragraph" w:styleId="53">
    <w:name w:val="List Continue 5"/>
    <w:basedOn w:val="1"/>
    <w:semiHidden/>
    <w:unhideWhenUsed/>
    <w:qFormat/>
    <w:uiPriority w:val="99"/>
    <w:pPr>
      <w:spacing w:after="120"/>
      <w:ind w:left="2100" w:leftChars="1000"/>
      <w:contextualSpacing/>
    </w:pPr>
  </w:style>
  <w:style w:type="paragraph" w:styleId="54">
    <w:name w:val="Balloon Text"/>
    <w:basedOn w:val="1"/>
    <w:link w:val="111"/>
    <w:semiHidden/>
    <w:unhideWhenUsed/>
    <w:qFormat/>
    <w:uiPriority w:val="99"/>
    <w:rPr>
      <w:sz w:val="18"/>
      <w:szCs w:val="18"/>
    </w:rPr>
  </w:style>
  <w:style w:type="paragraph" w:styleId="55">
    <w:name w:val="footer"/>
    <w:basedOn w:val="1"/>
    <w:link w:val="96"/>
    <w:unhideWhenUsed/>
    <w:qFormat/>
    <w:uiPriority w:val="99"/>
    <w:pPr>
      <w:tabs>
        <w:tab w:val="center" w:pos="4153"/>
        <w:tab w:val="right" w:pos="8306"/>
      </w:tabs>
      <w:snapToGrid w:val="0"/>
      <w:jc w:val="left"/>
    </w:pPr>
    <w:rPr>
      <w:sz w:val="18"/>
      <w:szCs w:val="18"/>
    </w:rPr>
  </w:style>
  <w:style w:type="paragraph" w:styleId="56">
    <w:name w:val="envelope return"/>
    <w:basedOn w:val="1"/>
    <w:semiHidden/>
    <w:unhideWhenUsed/>
    <w:qFormat/>
    <w:uiPriority w:val="99"/>
    <w:pPr>
      <w:snapToGrid w:val="0"/>
    </w:pPr>
    <w:rPr>
      <w:rFonts w:asciiTheme="majorHAnsi" w:hAnsiTheme="majorHAnsi" w:eastAsiaTheme="majorEastAsia" w:cstheme="majorBidi"/>
    </w:rPr>
  </w:style>
  <w:style w:type="paragraph" w:styleId="57">
    <w:name w:val="header"/>
    <w:basedOn w:val="1"/>
    <w:link w:val="95"/>
    <w:unhideWhenUsed/>
    <w:qFormat/>
    <w:uiPriority w:val="99"/>
    <w:pPr>
      <w:pBdr>
        <w:bottom w:val="single" w:color="auto" w:sz="6" w:space="1"/>
      </w:pBdr>
      <w:tabs>
        <w:tab w:val="center" w:pos="4153"/>
        <w:tab w:val="right" w:pos="8306"/>
      </w:tabs>
      <w:snapToGrid w:val="0"/>
      <w:jc w:val="center"/>
    </w:pPr>
    <w:rPr>
      <w:sz w:val="18"/>
      <w:szCs w:val="18"/>
    </w:rPr>
  </w:style>
  <w:style w:type="paragraph" w:styleId="58">
    <w:name w:val="Signature"/>
    <w:basedOn w:val="1"/>
    <w:link w:val="147"/>
    <w:semiHidden/>
    <w:unhideWhenUsed/>
    <w:qFormat/>
    <w:uiPriority w:val="99"/>
    <w:pPr>
      <w:ind w:left="100" w:leftChars="2100"/>
    </w:pPr>
  </w:style>
  <w:style w:type="paragraph" w:styleId="59">
    <w:name w:val="toc 1"/>
    <w:basedOn w:val="1"/>
    <w:next w:val="1"/>
    <w:unhideWhenUsed/>
    <w:qFormat/>
    <w:uiPriority w:val="39"/>
    <w:pPr>
      <w:spacing w:before="120" w:after="120"/>
      <w:jc w:val="left"/>
    </w:pPr>
    <w:rPr>
      <w:rFonts w:asciiTheme="minorHAnsi" w:hAnsiTheme="minorHAnsi" w:cstheme="minorHAnsi"/>
      <w:b/>
      <w:bCs/>
      <w:caps/>
      <w:sz w:val="20"/>
      <w:szCs w:val="20"/>
    </w:rPr>
  </w:style>
  <w:style w:type="paragraph" w:styleId="60">
    <w:name w:val="List Continue 4"/>
    <w:basedOn w:val="1"/>
    <w:semiHidden/>
    <w:unhideWhenUsed/>
    <w:qFormat/>
    <w:uiPriority w:val="99"/>
    <w:pPr>
      <w:spacing w:after="120"/>
      <w:ind w:left="1680" w:leftChars="800"/>
      <w:contextualSpacing/>
    </w:pPr>
  </w:style>
  <w:style w:type="paragraph" w:styleId="61">
    <w:name w:val="toc 4"/>
    <w:basedOn w:val="1"/>
    <w:next w:val="1"/>
    <w:unhideWhenUsed/>
    <w:qFormat/>
    <w:uiPriority w:val="39"/>
    <w:pPr>
      <w:ind w:left="630"/>
      <w:jc w:val="left"/>
    </w:pPr>
    <w:rPr>
      <w:rFonts w:asciiTheme="minorHAnsi" w:hAnsiTheme="minorHAnsi" w:cstheme="minorHAnsi"/>
      <w:sz w:val="18"/>
      <w:szCs w:val="18"/>
    </w:rPr>
  </w:style>
  <w:style w:type="paragraph" w:styleId="62">
    <w:name w:val="index heading"/>
    <w:basedOn w:val="1"/>
    <w:next w:val="63"/>
    <w:semiHidden/>
    <w:unhideWhenUsed/>
    <w:qFormat/>
    <w:uiPriority w:val="99"/>
    <w:rPr>
      <w:rFonts w:asciiTheme="majorHAnsi" w:hAnsiTheme="majorHAnsi" w:eastAsiaTheme="majorEastAsia" w:cstheme="majorBidi"/>
      <w:b/>
      <w:bCs/>
    </w:rPr>
  </w:style>
  <w:style w:type="paragraph" w:styleId="63">
    <w:name w:val="index 1"/>
    <w:basedOn w:val="1"/>
    <w:next w:val="1"/>
    <w:semiHidden/>
    <w:unhideWhenUsed/>
    <w:qFormat/>
    <w:uiPriority w:val="99"/>
    <w:pPr>
      <w:ind w:firstLine="0"/>
    </w:pPr>
  </w:style>
  <w:style w:type="paragraph" w:styleId="64">
    <w:name w:val="Subtitle"/>
    <w:basedOn w:val="1"/>
    <w:next w:val="1"/>
    <w:link w:val="142"/>
    <w:qFormat/>
    <w:uiPriority w:val="11"/>
    <w:pPr>
      <w:spacing w:before="240" w:after="60" w:line="312" w:lineRule="atLeast"/>
      <w:jc w:val="center"/>
      <w:outlineLvl w:val="1"/>
    </w:pPr>
    <w:rPr>
      <w:rFonts w:asciiTheme="minorHAnsi" w:hAnsiTheme="minorHAnsi" w:eastAsiaTheme="minorEastAsia" w:cstheme="minorBidi"/>
      <w:b/>
      <w:bCs/>
      <w:kern w:val="28"/>
      <w:sz w:val="32"/>
      <w:szCs w:val="32"/>
    </w:rPr>
  </w:style>
  <w:style w:type="paragraph" w:styleId="65">
    <w:name w:val="List Number 5"/>
    <w:basedOn w:val="1"/>
    <w:semiHidden/>
    <w:unhideWhenUsed/>
    <w:qFormat/>
    <w:uiPriority w:val="99"/>
    <w:pPr>
      <w:numPr>
        <w:ilvl w:val="0"/>
        <w:numId w:val="10"/>
      </w:numPr>
      <w:contextualSpacing/>
    </w:pPr>
  </w:style>
  <w:style w:type="paragraph" w:styleId="66">
    <w:name w:val="List"/>
    <w:basedOn w:val="1"/>
    <w:semiHidden/>
    <w:unhideWhenUsed/>
    <w:qFormat/>
    <w:uiPriority w:val="99"/>
    <w:pPr>
      <w:ind w:left="200" w:hanging="200" w:hangingChars="200"/>
      <w:contextualSpacing/>
    </w:pPr>
  </w:style>
  <w:style w:type="paragraph" w:styleId="67">
    <w:name w:val="footnote text"/>
    <w:basedOn w:val="1"/>
    <w:link w:val="109"/>
    <w:semiHidden/>
    <w:qFormat/>
    <w:uiPriority w:val="0"/>
    <w:pPr>
      <w:adjustRightInd w:val="0"/>
      <w:spacing w:line="312" w:lineRule="atLeast"/>
      <w:jc w:val="left"/>
      <w:textAlignment w:val="baseline"/>
    </w:pPr>
    <w:rPr>
      <w:kern w:val="0"/>
      <w:sz w:val="18"/>
      <w:szCs w:val="20"/>
    </w:rPr>
  </w:style>
  <w:style w:type="paragraph" w:styleId="68">
    <w:name w:val="toc 6"/>
    <w:basedOn w:val="1"/>
    <w:next w:val="1"/>
    <w:unhideWhenUsed/>
    <w:qFormat/>
    <w:uiPriority w:val="39"/>
    <w:pPr>
      <w:ind w:left="1050"/>
      <w:jc w:val="left"/>
    </w:pPr>
    <w:rPr>
      <w:rFonts w:asciiTheme="minorHAnsi" w:hAnsiTheme="minorHAnsi" w:cstheme="minorHAnsi"/>
      <w:sz w:val="18"/>
      <w:szCs w:val="18"/>
    </w:rPr>
  </w:style>
  <w:style w:type="paragraph" w:styleId="69">
    <w:name w:val="List 5"/>
    <w:basedOn w:val="1"/>
    <w:semiHidden/>
    <w:unhideWhenUsed/>
    <w:qFormat/>
    <w:uiPriority w:val="99"/>
    <w:pPr>
      <w:ind w:left="100" w:leftChars="800" w:hanging="200" w:hangingChars="200"/>
      <w:contextualSpacing/>
    </w:pPr>
  </w:style>
  <w:style w:type="paragraph" w:styleId="70">
    <w:name w:val="Body Text Indent 3"/>
    <w:basedOn w:val="1"/>
    <w:link w:val="161"/>
    <w:semiHidden/>
    <w:unhideWhenUsed/>
    <w:qFormat/>
    <w:uiPriority w:val="99"/>
    <w:pPr>
      <w:spacing w:after="120"/>
      <w:ind w:left="420" w:leftChars="200"/>
    </w:pPr>
    <w:rPr>
      <w:sz w:val="16"/>
      <w:szCs w:val="16"/>
    </w:rPr>
  </w:style>
  <w:style w:type="paragraph" w:styleId="71">
    <w:name w:val="index 7"/>
    <w:basedOn w:val="1"/>
    <w:next w:val="1"/>
    <w:semiHidden/>
    <w:unhideWhenUsed/>
    <w:qFormat/>
    <w:uiPriority w:val="99"/>
    <w:pPr>
      <w:ind w:left="1200" w:leftChars="1200" w:firstLine="0"/>
    </w:pPr>
  </w:style>
  <w:style w:type="paragraph" w:styleId="72">
    <w:name w:val="index 9"/>
    <w:basedOn w:val="1"/>
    <w:next w:val="1"/>
    <w:semiHidden/>
    <w:unhideWhenUsed/>
    <w:qFormat/>
    <w:uiPriority w:val="99"/>
    <w:pPr>
      <w:ind w:left="1600" w:leftChars="1600" w:firstLine="0"/>
    </w:pPr>
  </w:style>
  <w:style w:type="paragraph" w:styleId="73">
    <w:name w:val="table of figures"/>
    <w:basedOn w:val="1"/>
    <w:next w:val="1"/>
    <w:semiHidden/>
    <w:unhideWhenUsed/>
    <w:qFormat/>
    <w:uiPriority w:val="99"/>
    <w:pPr>
      <w:ind w:left="200" w:leftChars="200" w:hanging="200" w:hangingChars="200"/>
    </w:pPr>
  </w:style>
  <w:style w:type="paragraph" w:styleId="74">
    <w:name w:val="toc 2"/>
    <w:basedOn w:val="1"/>
    <w:next w:val="1"/>
    <w:unhideWhenUsed/>
    <w:qFormat/>
    <w:uiPriority w:val="39"/>
    <w:pPr>
      <w:ind w:left="210"/>
      <w:jc w:val="left"/>
    </w:pPr>
    <w:rPr>
      <w:rFonts w:asciiTheme="minorHAnsi" w:hAnsiTheme="minorHAnsi" w:cstheme="minorHAnsi"/>
      <w:smallCaps/>
      <w:sz w:val="20"/>
      <w:szCs w:val="20"/>
    </w:rPr>
  </w:style>
  <w:style w:type="paragraph" w:styleId="75">
    <w:name w:val="toc 9"/>
    <w:basedOn w:val="1"/>
    <w:next w:val="1"/>
    <w:unhideWhenUsed/>
    <w:qFormat/>
    <w:uiPriority w:val="39"/>
    <w:pPr>
      <w:ind w:left="1680"/>
      <w:jc w:val="left"/>
    </w:pPr>
    <w:rPr>
      <w:rFonts w:asciiTheme="minorHAnsi" w:hAnsiTheme="minorHAnsi" w:cstheme="minorHAnsi"/>
      <w:sz w:val="18"/>
      <w:szCs w:val="18"/>
    </w:rPr>
  </w:style>
  <w:style w:type="paragraph" w:styleId="76">
    <w:name w:val="Body Text 2"/>
    <w:basedOn w:val="1"/>
    <w:link w:val="155"/>
    <w:semiHidden/>
    <w:unhideWhenUsed/>
    <w:qFormat/>
    <w:uiPriority w:val="99"/>
    <w:pPr>
      <w:spacing w:after="120" w:line="480" w:lineRule="auto"/>
    </w:pPr>
  </w:style>
  <w:style w:type="paragraph" w:styleId="77">
    <w:name w:val="List 4"/>
    <w:basedOn w:val="1"/>
    <w:semiHidden/>
    <w:unhideWhenUsed/>
    <w:qFormat/>
    <w:uiPriority w:val="99"/>
    <w:pPr>
      <w:ind w:left="100" w:leftChars="600" w:hanging="200" w:hangingChars="200"/>
      <w:contextualSpacing/>
    </w:pPr>
  </w:style>
  <w:style w:type="paragraph" w:styleId="78">
    <w:name w:val="List Continue 2"/>
    <w:basedOn w:val="1"/>
    <w:semiHidden/>
    <w:unhideWhenUsed/>
    <w:qFormat/>
    <w:uiPriority w:val="99"/>
    <w:pPr>
      <w:spacing w:after="120"/>
      <w:ind w:left="840" w:leftChars="400"/>
      <w:contextualSpacing/>
    </w:pPr>
  </w:style>
  <w:style w:type="paragraph" w:styleId="79">
    <w:name w:val="Message Header"/>
    <w:basedOn w:val="1"/>
    <w:link w:val="151"/>
    <w:semiHidden/>
    <w:unhideWhenUsed/>
    <w:qFormat/>
    <w:uiPriority w:val="99"/>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Theme="majorHAnsi" w:hAnsiTheme="majorHAnsi" w:eastAsiaTheme="majorEastAsia" w:cstheme="majorBidi"/>
      <w:sz w:val="24"/>
    </w:rPr>
  </w:style>
  <w:style w:type="paragraph" w:styleId="80">
    <w:name w:val="HTML Preformatted"/>
    <w:basedOn w:val="1"/>
    <w:link w:val="134"/>
    <w:semiHidden/>
    <w:unhideWhenUsed/>
    <w:qFormat/>
    <w:uiPriority w:val="99"/>
    <w:rPr>
      <w:rFonts w:ascii="Courier New" w:hAnsi="Courier New" w:cs="Courier New"/>
      <w:sz w:val="20"/>
      <w:szCs w:val="20"/>
    </w:rPr>
  </w:style>
  <w:style w:type="paragraph" w:styleId="81">
    <w:name w:val="Normal (Web)"/>
    <w:basedOn w:val="1"/>
    <w:unhideWhenUsed/>
    <w:qFormat/>
    <w:uiPriority w:val="99"/>
    <w:pPr>
      <w:spacing w:beforeAutospacing="1" w:afterAutospacing="1"/>
      <w:jc w:val="left"/>
    </w:pPr>
    <w:rPr>
      <w:kern w:val="0"/>
      <w:sz w:val="24"/>
    </w:rPr>
  </w:style>
  <w:style w:type="paragraph" w:styleId="82">
    <w:name w:val="List Continue 3"/>
    <w:basedOn w:val="1"/>
    <w:semiHidden/>
    <w:unhideWhenUsed/>
    <w:qFormat/>
    <w:uiPriority w:val="99"/>
    <w:pPr>
      <w:spacing w:after="120"/>
      <w:ind w:left="1260" w:leftChars="600"/>
      <w:contextualSpacing/>
    </w:pPr>
  </w:style>
  <w:style w:type="paragraph" w:styleId="83">
    <w:name w:val="index 2"/>
    <w:basedOn w:val="1"/>
    <w:next w:val="1"/>
    <w:semiHidden/>
    <w:unhideWhenUsed/>
    <w:qFormat/>
    <w:uiPriority w:val="99"/>
    <w:pPr>
      <w:ind w:left="200" w:leftChars="200" w:firstLine="0"/>
    </w:pPr>
  </w:style>
  <w:style w:type="paragraph" w:styleId="84">
    <w:name w:val="Title"/>
    <w:basedOn w:val="1"/>
    <w:link w:val="108"/>
    <w:qFormat/>
    <w:uiPriority w:val="0"/>
    <w:pPr>
      <w:ind w:firstLine="0" w:firstLineChars="0"/>
      <w:outlineLvl w:val="3"/>
    </w:pPr>
    <w:rPr>
      <w:rFonts w:ascii="Arial" w:hAnsi="Arial" w:eastAsia="黑体" w:cs="Arial"/>
      <w:bCs/>
      <w:szCs w:val="32"/>
    </w:rPr>
  </w:style>
  <w:style w:type="paragraph" w:styleId="85">
    <w:name w:val="annotation subject"/>
    <w:basedOn w:val="28"/>
    <w:next w:val="28"/>
    <w:link w:val="115"/>
    <w:semiHidden/>
    <w:unhideWhenUsed/>
    <w:qFormat/>
    <w:uiPriority w:val="99"/>
    <w:rPr>
      <w:b/>
      <w:bCs/>
    </w:rPr>
  </w:style>
  <w:style w:type="paragraph" w:styleId="86">
    <w:name w:val="Body Text First Indent"/>
    <w:basedOn w:val="34"/>
    <w:link w:val="157"/>
    <w:semiHidden/>
    <w:unhideWhenUsed/>
    <w:qFormat/>
    <w:uiPriority w:val="99"/>
    <w:pPr>
      <w:ind w:firstLine="420" w:firstLineChars="100"/>
    </w:pPr>
  </w:style>
  <w:style w:type="paragraph" w:styleId="87">
    <w:name w:val="Body Text First Indent 2"/>
    <w:basedOn w:val="35"/>
    <w:link w:val="159"/>
    <w:semiHidden/>
    <w:unhideWhenUsed/>
    <w:qFormat/>
    <w:uiPriority w:val="99"/>
    <w:pPr>
      <w:ind w:firstLine="420"/>
    </w:pPr>
  </w:style>
  <w:style w:type="table" w:styleId="89">
    <w:name w:val="Table Grid"/>
    <w:basedOn w:val="88"/>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1">
    <w:name w:val="Strong"/>
    <w:basedOn w:val="90"/>
    <w:autoRedefine/>
    <w:qFormat/>
    <w:uiPriority w:val="22"/>
    <w:rPr>
      <w:b/>
      <w:bCs/>
    </w:rPr>
  </w:style>
  <w:style w:type="character" w:styleId="92">
    <w:name w:val="Hyperlink"/>
    <w:basedOn w:val="90"/>
    <w:autoRedefine/>
    <w:unhideWhenUsed/>
    <w:qFormat/>
    <w:uiPriority w:val="99"/>
    <w:rPr>
      <w:color w:val="0563C1" w:themeColor="hyperlink"/>
      <w:u w:val="single"/>
      <w14:textFill>
        <w14:solidFill>
          <w14:schemeClr w14:val="hlink"/>
        </w14:solidFill>
      </w14:textFill>
    </w:rPr>
  </w:style>
  <w:style w:type="character" w:styleId="93">
    <w:name w:val="annotation reference"/>
    <w:basedOn w:val="90"/>
    <w:autoRedefine/>
    <w:semiHidden/>
    <w:unhideWhenUsed/>
    <w:qFormat/>
    <w:uiPriority w:val="99"/>
    <w:rPr>
      <w:sz w:val="21"/>
      <w:szCs w:val="21"/>
    </w:rPr>
  </w:style>
  <w:style w:type="character" w:styleId="94">
    <w:name w:val="footnote reference"/>
    <w:basedOn w:val="90"/>
    <w:autoRedefine/>
    <w:semiHidden/>
    <w:qFormat/>
    <w:uiPriority w:val="0"/>
    <w:rPr>
      <w:vertAlign w:val="superscript"/>
    </w:rPr>
  </w:style>
  <w:style w:type="character" w:customStyle="1" w:styleId="95">
    <w:name w:val="页眉 字符"/>
    <w:basedOn w:val="90"/>
    <w:link w:val="57"/>
    <w:autoRedefine/>
    <w:qFormat/>
    <w:uiPriority w:val="99"/>
    <w:rPr>
      <w:sz w:val="18"/>
      <w:szCs w:val="18"/>
    </w:rPr>
  </w:style>
  <w:style w:type="character" w:customStyle="1" w:styleId="96">
    <w:name w:val="页脚 字符"/>
    <w:basedOn w:val="90"/>
    <w:link w:val="55"/>
    <w:autoRedefine/>
    <w:qFormat/>
    <w:uiPriority w:val="99"/>
    <w:rPr>
      <w:sz w:val="18"/>
      <w:szCs w:val="18"/>
    </w:rPr>
  </w:style>
  <w:style w:type="paragraph" w:customStyle="1" w:styleId="97">
    <w:name w:val="编号正文缩进"/>
    <w:basedOn w:val="1"/>
    <w:qFormat/>
    <w:uiPriority w:val="0"/>
    <w:pPr>
      <w:ind w:left="425" w:hanging="425"/>
    </w:pPr>
    <w:rPr>
      <w:szCs w:val="20"/>
    </w:rPr>
  </w:style>
  <w:style w:type="paragraph" w:styleId="98">
    <w:name w:val="List Paragraph"/>
    <w:basedOn w:val="1"/>
    <w:qFormat/>
    <w:uiPriority w:val="34"/>
    <w:pPr>
      <w:ind w:firstLine="420"/>
    </w:pPr>
  </w:style>
  <w:style w:type="character" w:customStyle="1" w:styleId="99">
    <w:name w:val="标题 1 字符"/>
    <w:basedOn w:val="90"/>
    <w:link w:val="3"/>
    <w:autoRedefine/>
    <w:qFormat/>
    <w:uiPriority w:val="9"/>
    <w:rPr>
      <w:rFonts w:ascii="Times New Roman" w:hAnsi="Times New Roman" w:eastAsia="宋体" w:cs="Times New Roman"/>
      <w:bCs/>
      <w:kern w:val="44"/>
      <w:szCs w:val="44"/>
    </w:rPr>
  </w:style>
  <w:style w:type="paragraph" w:customStyle="1" w:styleId="100">
    <w:name w:val="TOC 标题1"/>
    <w:basedOn w:val="3"/>
    <w:next w:val="1"/>
    <w:unhideWhenUsed/>
    <w:qFormat/>
    <w:uiPriority w:val="39"/>
    <w:pPr>
      <w:widowControl/>
      <w:spacing w:before="240" w:line="259" w:lineRule="auto"/>
      <w:jc w:val="left"/>
      <w:outlineLvl w:val="9"/>
    </w:pPr>
    <w:rPr>
      <w:rFonts w:asciiTheme="majorHAnsi" w:hAnsiTheme="majorHAnsi" w:eastAsiaTheme="majorEastAsia" w:cstheme="majorBidi"/>
      <w:b/>
      <w:bCs w:val="0"/>
      <w:color w:val="2E75B6" w:themeColor="accent1" w:themeShade="BF"/>
      <w:kern w:val="0"/>
      <w:sz w:val="32"/>
      <w:szCs w:val="32"/>
    </w:rPr>
  </w:style>
  <w:style w:type="character" w:customStyle="1" w:styleId="101">
    <w:name w:val="标题 2 字符"/>
    <w:basedOn w:val="90"/>
    <w:link w:val="4"/>
    <w:autoRedefine/>
    <w:qFormat/>
    <w:uiPriority w:val="9"/>
    <w:rPr>
      <w:rFonts w:eastAsia="黑体" w:asciiTheme="majorHAnsi" w:hAnsiTheme="majorHAnsi" w:cstheme="majorBidi"/>
      <w:b/>
      <w:bCs/>
      <w:sz w:val="24"/>
      <w:szCs w:val="32"/>
    </w:rPr>
  </w:style>
  <w:style w:type="character" w:customStyle="1" w:styleId="102">
    <w:name w:val="标题 3 字符"/>
    <w:basedOn w:val="90"/>
    <w:link w:val="5"/>
    <w:autoRedefine/>
    <w:qFormat/>
    <w:uiPriority w:val="9"/>
    <w:rPr>
      <w:rFonts w:ascii="Times New Roman" w:hAnsi="Times New Roman" w:eastAsia="宋体" w:cs="Times New Roman"/>
      <w:b/>
      <w:bCs/>
      <w:sz w:val="32"/>
      <w:szCs w:val="32"/>
    </w:rPr>
  </w:style>
  <w:style w:type="character" w:customStyle="1" w:styleId="103">
    <w:name w:val="标题 4 字符"/>
    <w:basedOn w:val="90"/>
    <w:link w:val="6"/>
    <w:qFormat/>
    <w:uiPriority w:val="9"/>
    <w:rPr>
      <w:rFonts w:asciiTheme="majorHAnsi" w:hAnsiTheme="majorHAnsi" w:eastAsiaTheme="majorEastAsia" w:cstheme="majorBidi"/>
      <w:b/>
      <w:bCs/>
      <w:sz w:val="28"/>
      <w:szCs w:val="28"/>
    </w:rPr>
  </w:style>
  <w:style w:type="character" w:customStyle="1" w:styleId="104">
    <w:name w:val="标题 5 字符"/>
    <w:basedOn w:val="90"/>
    <w:link w:val="7"/>
    <w:qFormat/>
    <w:uiPriority w:val="9"/>
    <w:rPr>
      <w:rFonts w:ascii="Times New Roman" w:hAnsi="Times New Roman" w:eastAsia="宋体" w:cs="Times New Roman"/>
      <w:b/>
      <w:bCs/>
      <w:sz w:val="28"/>
      <w:szCs w:val="28"/>
    </w:rPr>
  </w:style>
  <w:style w:type="character" w:customStyle="1" w:styleId="105">
    <w:name w:val="标题 6 字符"/>
    <w:basedOn w:val="90"/>
    <w:link w:val="8"/>
    <w:autoRedefine/>
    <w:qFormat/>
    <w:uiPriority w:val="9"/>
    <w:rPr>
      <w:rFonts w:asciiTheme="majorHAnsi" w:hAnsiTheme="majorHAnsi" w:eastAsiaTheme="majorEastAsia" w:cstheme="majorBidi"/>
      <w:b/>
      <w:bCs/>
      <w:sz w:val="24"/>
      <w:szCs w:val="24"/>
    </w:rPr>
  </w:style>
  <w:style w:type="paragraph" w:customStyle="1" w:styleId="106">
    <w:name w:val="1级标题"/>
    <w:basedOn w:val="3"/>
    <w:qFormat/>
    <w:uiPriority w:val="0"/>
    <w:pPr>
      <w:numPr>
        <w:ilvl w:val="0"/>
        <w:numId w:val="11"/>
      </w:numPr>
      <w:spacing w:before="312" w:beforeLines="100" w:after="312" w:afterLines="100" w:line="360" w:lineRule="auto"/>
      <w:jc w:val="left"/>
    </w:pPr>
    <w:rPr>
      <w:rFonts w:eastAsia="黑体"/>
      <w:szCs w:val="32"/>
    </w:rPr>
  </w:style>
  <w:style w:type="paragraph" w:customStyle="1" w:styleId="107">
    <w:name w:val="3级标题"/>
    <w:basedOn w:val="1"/>
    <w:next w:val="5"/>
    <w:qFormat/>
    <w:uiPriority w:val="0"/>
    <w:pPr>
      <w:numPr>
        <w:ilvl w:val="2"/>
        <w:numId w:val="11"/>
      </w:numPr>
      <w:spacing w:before="50" w:beforeLines="50" w:after="50" w:afterLines="50" w:line="360" w:lineRule="auto"/>
      <w:ind w:firstLine="0" w:firstLineChars="0"/>
    </w:pPr>
    <w:rPr>
      <w:rFonts w:eastAsia="黑体"/>
    </w:rPr>
  </w:style>
  <w:style w:type="character" w:customStyle="1" w:styleId="108">
    <w:name w:val="标题 字符"/>
    <w:basedOn w:val="90"/>
    <w:link w:val="84"/>
    <w:autoRedefine/>
    <w:qFormat/>
    <w:uiPriority w:val="0"/>
    <w:rPr>
      <w:rFonts w:ascii="Arial" w:hAnsi="Arial" w:eastAsia="黑体" w:cs="Arial"/>
      <w:bCs/>
      <w:szCs w:val="32"/>
    </w:rPr>
  </w:style>
  <w:style w:type="character" w:customStyle="1" w:styleId="109">
    <w:name w:val="脚注文本 字符"/>
    <w:basedOn w:val="90"/>
    <w:link w:val="67"/>
    <w:semiHidden/>
    <w:qFormat/>
    <w:uiPriority w:val="0"/>
    <w:rPr>
      <w:rFonts w:ascii="Times New Roman" w:hAnsi="Times New Roman" w:eastAsia="宋体" w:cs="Times New Roman"/>
      <w:kern w:val="0"/>
      <w:sz w:val="18"/>
      <w:szCs w:val="20"/>
    </w:rPr>
  </w:style>
  <w:style w:type="paragraph" w:customStyle="1" w:styleId="110">
    <w:name w:val="2级标题"/>
    <w:basedOn w:val="4"/>
    <w:next w:val="4"/>
    <w:qFormat/>
    <w:uiPriority w:val="0"/>
    <w:pPr>
      <w:numPr>
        <w:ilvl w:val="1"/>
        <w:numId w:val="11"/>
      </w:numPr>
      <w:spacing w:before="313" w:beforeLines="100" w:after="313" w:afterLines="100" w:line="360" w:lineRule="exact"/>
      <w:ind w:left="567" w:firstLine="0" w:firstLineChars="0"/>
    </w:pPr>
    <w:rPr>
      <w:rFonts w:ascii="Times New Roman" w:hAnsi="Times New Roman"/>
      <w:b w:val="0"/>
      <w:sz w:val="28"/>
      <w:szCs w:val="28"/>
    </w:rPr>
  </w:style>
  <w:style w:type="character" w:customStyle="1" w:styleId="111">
    <w:name w:val="批注框文本 字符"/>
    <w:basedOn w:val="90"/>
    <w:link w:val="54"/>
    <w:autoRedefine/>
    <w:semiHidden/>
    <w:qFormat/>
    <w:uiPriority w:val="99"/>
    <w:rPr>
      <w:rFonts w:ascii="Times New Roman" w:hAnsi="Times New Roman" w:eastAsia="宋体" w:cs="Times New Roman"/>
      <w:sz w:val="18"/>
      <w:szCs w:val="18"/>
    </w:rPr>
  </w:style>
  <w:style w:type="paragraph" w:styleId="112">
    <w:name w:val="No Spacing"/>
    <w:qFormat/>
    <w:uiPriority w:val="1"/>
    <w:pPr>
      <w:widowControl w:val="0"/>
      <w:spacing w:line="360" w:lineRule="exact"/>
      <w:jc w:val="center"/>
    </w:pPr>
    <w:rPr>
      <w:rFonts w:ascii="Times New Roman" w:hAnsi="Times New Roman" w:eastAsia="黑体" w:cs="Times New Roman"/>
      <w:kern w:val="2"/>
      <w:sz w:val="21"/>
      <w:szCs w:val="24"/>
      <w:lang w:val="en-US" w:eastAsia="zh-CN" w:bidi="ar-SA"/>
    </w:rPr>
  </w:style>
  <w:style w:type="character" w:customStyle="1" w:styleId="113">
    <w:name w:val="fontstyle41"/>
    <w:basedOn w:val="90"/>
    <w:autoRedefine/>
    <w:qFormat/>
    <w:uiPriority w:val="0"/>
    <w:rPr>
      <w:rFonts w:ascii="仿宋" w:hAnsi="仿宋" w:eastAsia="仿宋" w:cs="仿宋"/>
      <w:color w:val="000000"/>
      <w:sz w:val="28"/>
      <w:szCs w:val="28"/>
    </w:rPr>
  </w:style>
  <w:style w:type="character" w:customStyle="1" w:styleId="114">
    <w:name w:val="批注文字 字符"/>
    <w:basedOn w:val="90"/>
    <w:link w:val="28"/>
    <w:autoRedefine/>
    <w:qFormat/>
    <w:uiPriority w:val="99"/>
    <w:rPr>
      <w:rFonts w:ascii="Times New Roman" w:hAnsi="Times New Roman" w:eastAsia="宋体" w:cs="Times New Roman"/>
      <w:szCs w:val="24"/>
    </w:rPr>
  </w:style>
  <w:style w:type="character" w:customStyle="1" w:styleId="115">
    <w:name w:val="批注主题 字符"/>
    <w:basedOn w:val="114"/>
    <w:link w:val="85"/>
    <w:autoRedefine/>
    <w:semiHidden/>
    <w:qFormat/>
    <w:uiPriority w:val="99"/>
    <w:rPr>
      <w:rFonts w:ascii="Times New Roman" w:hAnsi="Times New Roman" w:eastAsia="宋体" w:cs="Times New Roman"/>
      <w:b/>
      <w:bCs/>
      <w:szCs w:val="24"/>
    </w:rPr>
  </w:style>
  <w:style w:type="paragraph" w:customStyle="1" w:styleId="116">
    <w:name w:val="修订1"/>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17">
    <w:name w:val="修订2"/>
    <w:autoRedefine/>
    <w:hidden/>
    <w:unhideWhenUsed/>
    <w:qFormat/>
    <w:uiPriority w:val="99"/>
    <w:rPr>
      <w:rFonts w:ascii="Times New Roman" w:hAnsi="Times New Roman" w:eastAsia="宋体" w:cs="Times New Roman"/>
      <w:kern w:val="2"/>
      <w:sz w:val="21"/>
      <w:szCs w:val="24"/>
      <w:lang w:val="en-US" w:eastAsia="zh-CN" w:bidi="ar-SA"/>
    </w:rPr>
  </w:style>
  <w:style w:type="character" w:customStyle="1" w:styleId="118">
    <w:name w:val="日期 字符"/>
    <w:basedOn w:val="90"/>
    <w:link w:val="50"/>
    <w:autoRedefine/>
    <w:semiHidden/>
    <w:qFormat/>
    <w:uiPriority w:val="99"/>
    <w:rPr>
      <w:rFonts w:ascii="Times New Roman" w:hAnsi="Times New Roman" w:eastAsia="宋体" w:cs="Times New Roman"/>
      <w:kern w:val="2"/>
      <w:sz w:val="21"/>
      <w:szCs w:val="24"/>
    </w:rPr>
  </w:style>
  <w:style w:type="paragraph" w:customStyle="1" w:styleId="119">
    <w:name w:val="修订3"/>
    <w:autoRedefine/>
    <w:hidden/>
    <w:unhideWhenUsed/>
    <w:qFormat/>
    <w:uiPriority w:val="99"/>
    <w:rPr>
      <w:rFonts w:ascii="Times New Roman" w:hAnsi="Times New Roman" w:eastAsia="宋体" w:cs="Times New Roman"/>
      <w:kern w:val="2"/>
      <w:sz w:val="21"/>
      <w:szCs w:val="24"/>
      <w:lang w:val="en-US" w:eastAsia="zh-CN" w:bidi="ar-SA"/>
    </w:rPr>
  </w:style>
  <w:style w:type="paragraph" w:customStyle="1" w:styleId="120">
    <w:name w:val="段"/>
    <w:link w:val="121"/>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121">
    <w:name w:val="段 Char"/>
    <w:link w:val="120"/>
    <w:autoRedefine/>
    <w:qFormat/>
    <w:uiPriority w:val="0"/>
    <w:rPr>
      <w:rFonts w:ascii="宋体"/>
      <w:sz w:val="21"/>
    </w:rPr>
  </w:style>
  <w:style w:type="paragraph" w:customStyle="1" w:styleId="122">
    <w:name w:val="修订4"/>
    <w:hidden/>
    <w:unhideWhenUsed/>
    <w:qFormat/>
    <w:uiPriority w:val="99"/>
    <w:rPr>
      <w:rFonts w:ascii="Times New Roman" w:hAnsi="Times New Roman" w:eastAsia="宋体" w:cs="Times New Roman"/>
      <w:kern w:val="2"/>
      <w:sz w:val="21"/>
      <w:szCs w:val="24"/>
      <w:lang w:val="en-US" w:eastAsia="zh-CN" w:bidi="ar-SA"/>
    </w:rPr>
  </w:style>
  <w:style w:type="character" w:styleId="123">
    <w:name w:val="Placeholder Text"/>
    <w:basedOn w:val="90"/>
    <w:unhideWhenUsed/>
    <w:qFormat/>
    <w:uiPriority w:val="99"/>
    <w:rPr>
      <w:color w:val="666666"/>
    </w:rPr>
  </w:style>
  <w:style w:type="paragraph" w:customStyle="1" w:styleId="124">
    <w:name w:val="修订5"/>
    <w:hidden/>
    <w:unhideWhenUsed/>
    <w:qFormat/>
    <w:uiPriority w:val="99"/>
    <w:rPr>
      <w:rFonts w:ascii="Times New Roman" w:hAnsi="Times New Roman" w:eastAsia="宋体" w:cs="Times New Roman"/>
      <w:kern w:val="2"/>
      <w:sz w:val="21"/>
      <w:szCs w:val="24"/>
      <w:lang w:val="en-US" w:eastAsia="zh-CN" w:bidi="ar-SA"/>
    </w:rPr>
  </w:style>
  <w:style w:type="paragraph" w:customStyle="1" w:styleId="125">
    <w:name w:val="Meth - Text"/>
    <w:basedOn w:val="1"/>
    <w:qFormat/>
    <w:uiPriority w:val="0"/>
    <w:pPr>
      <w:widowControl/>
      <w:spacing w:before="240" w:line="240" w:lineRule="auto"/>
      <w:ind w:firstLine="0" w:firstLineChars="0"/>
      <w:jc w:val="left"/>
    </w:pPr>
    <w:rPr>
      <w:rFonts w:eastAsiaTheme="minorEastAsia"/>
      <w:kern w:val="0"/>
      <w:sz w:val="22"/>
      <w:szCs w:val="20"/>
      <w:lang w:val="en-GB" w:eastAsia="en-US"/>
    </w:rPr>
  </w:style>
  <w:style w:type="paragraph" w:customStyle="1" w:styleId="126">
    <w:name w:val="Meth - Nomenclature and tables"/>
    <w:basedOn w:val="125"/>
    <w:qFormat/>
    <w:uiPriority w:val="0"/>
    <w:pPr>
      <w:tabs>
        <w:tab w:val="right" w:pos="9360"/>
      </w:tabs>
      <w:spacing w:before="0"/>
    </w:pPr>
  </w:style>
  <w:style w:type="paragraph" w:customStyle="1" w:styleId="127">
    <w:name w:val="Meth - Equation"/>
    <w:basedOn w:val="1"/>
    <w:next w:val="125"/>
    <w:qFormat/>
    <w:uiPriority w:val="0"/>
    <w:pPr>
      <w:widowControl/>
      <w:tabs>
        <w:tab w:val="right" w:pos="9400"/>
      </w:tabs>
      <w:spacing w:before="240" w:line="240" w:lineRule="auto"/>
      <w:ind w:firstLine="0" w:firstLineChars="0"/>
      <w:jc w:val="left"/>
    </w:pPr>
    <w:rPr>
      <w:rFonts w:eastAsiaTheme="minorEastAsia"/>
      <w:b/>
      <w:kern w:val="0"/>
      <w:sz w:val="22"/>
      <w:szCs w:val="20"/>
      <w:lang w:eastAsia="en-US"/>
    </w:rPr>
  </w:style>
  <w:style w:type="character" w:customStyle="1" w:styleId="128">
    <w:name w:val="Body Text Char Char1"/>
    <w:basedOn w:val="90"/>
    <w:qFormat/>
    <w:uiPriority w:val="0"/>
  </w:style>
  <w:style w:type="character" w:customStyle="1" w:styleId="129">
    <w:name w:val="font21"/>
    <w:basedOn w:val="90"/>
    <w:qFormat/>
    <w:uiPriority w:val="0"/>
    <w:rPr>
      <w:rFonts w:hint="eastAsia" w:ascii="宋体" w:hAnsi="宋体" w:eastAsia="宋体" w:cs="宋体"/>
      <w:color w:val="000000"/>
      <w:sz w:val="20"/>
      <w:szCs w:val="20"/>
      <w:u w:val="none"/>
    </w:rPr>
  </w:style>
  <w:style w:type="character" w:customStyle="1" w:styleId="130">
    <w:name w:val="font11"/>
    <w:basedOn w:val="90"/>
    <w:qFormat/>
    <w:uiPriority w:val="0"/>
    <w:rPr>
      <w:rFonts w:hint="default" w:ascii="Times New Roman" w:hAnsi="Times New Roman" w:cs="Times New Roman"/>
      <w:color w:val="000000"/>
      <w:sz w:val="20"/>
      <w:szCs w:val="20"/>
      <w:u w:val="none"/>
    </w:rPr>
  </w:style>
  <w:style w:type="character" w:customStyle="1" w:styleId="131">
    <w:name w:val="font61"/>
    <w:basedOn w:val="90"/>
    <w:qFormat/>
    <w:uiPriority w:val="0"/>
    <w:rPr>
      <w:rFonts w:hint="eastAsia" w:ascii="宋体" w:hAnsi="宋体" w:eastAsia="宋体" w:cs="宋体"/>
      <w:color w:val="000000"/>
      <w:sz w:val="20"/>
      <w:szCs w:val="20"/>
      <w:u w:val="none"/>
    </w:rPr>
  </w:style>
  <w:style w:type="paragraph" w:customStyle="1" w:styleId="132">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33">
    <w:name w:val="HTML 地址 字符"/>
    <w:basedOn w:val="90"/>
    <w:link w:val="41"/>
    <w:semiHidden/>
    <w:qFormat/>
    <w:uiPriority w:val="99"/>
    <w:rPr>
      <w:i/>
      <w:iCs/>
      <w:kern w:val="2"/>
      <w:sz w:val="28"/>
      <w:szCs w:val="24"/>
    </w:rPr>
  </w:style>
  <w:style w:type="character" w:customStyle="1" w:styleId="134">
    <w:name w:val="HTML 预设格式 字符"/>
    <w:basedOn w:val="90"/>
    <w:link w:val="80"/>
    <w:semiHidden/>
    <w:qFormat/>
    <w:uiPriority w:val="99"/>
    <w:rPr>
      <w:rFonts w:ascii="Courier New" w:hAnsi="Courier New" w:cs="Courier New"/>
      <w:kern w:val="2"/>
    </w:rPr>
  </w:style>
  <w:style w:type="paragraph" w:customStyle="1" w:styleId="135">
    <w:name w:val="TOC Heading"/>
    <w:basedOn w:val="3"/>
    <w:next w:val="1"/>
    <w:semiHidden/>
    <w:unhideWhenUsed/>
    <w:qFormat/>
    <w:uiPriority w:val="39"/>
    <w:pPr>
      <w:spacing w:before="340" w:after="330" w:line="578" w:lineRule="atLeast"/>
      <w:ind w:firstLine="200" w:firstLineChars="200"/>
      <w:outlineLvl w:val="9"/>
    </w:pPr>
    <w:rPr>
      <w:b/>
      <w:sz w:val="44"/>
    </w:rPr>
  </w:style>
  <w:style w:type="character" w:customStyle="1" w:styleId="136">
    <w:name w:val="标题 7 字符"/>
    <w:basedOn w:val="90"/>
    <w:link w:val="9"/>
    <w:semiHidden/>
    <w:qFormat/>
    <w:uiPriority w:val="9"/>
    <w:rPr>
      <w:b/>
      <w:bCs/>
      <w:kern w:val="2"/>
      <w:sz w:val="24"/>
      <w:szCs w:val="24"/>
    </w:rPr>
  </w:style>
  <w:style w:type="character" w:customStyle="1" w:styleId="137">
    <w:name w:val="标题 8 字符"/>
    <w:basedOn w:val="90"/>
    <w:link w:val="10"/>
    <w:semiHidden/>
    <w:qFormat/>
    <w:uiPriority w:val="9"/>
    <w:rPr>
      <w:rFonts w:asciiTheme="majorHAnsi" w:hAnsiTheme="majorHAnsi" w:eastAsiaTheme="majorEastAsia" w:cstheme="majorBidi"/>
      <w:kern w:val="2"/>
      <w:sz w:val="24"/>
      <w:szCs w:val="24"/>
    </w:rPr>
  </w:style>
  <w:style w:type="character" w:customStyle="1" w:styleId="138">
    <w:name w:val="标题 9 字符"/>
    <w:basedOn w:val="90"/>
    <w:link w:val="11"/>
    <w:semiHidden/>
    <w:qFormat/>
    <w:uiPriority w:val="9"/>
    <w:rPr>
      <w:rFonts w:asciiTheme="majorHAnsi" w:hAnsiTheme="majorHAnsi" w:eastAsiaTheme="majorEastAsia" w:cstheme="majorBidi"/>
      <w:kern w:val="2"/>
      <w:sz w:val="21"/>
      <w:szCs w:val="21"/>
    </w:rPr>
  </w:style>
  <w:style w:type="character" w:customStyle="1" w:styleId="139">
    <w:name w:val="称呼 字符"/>
    <w:basedOn w:val="90"/>
    <w:link w:val="30"/>
    <w:semiHidden/>
    <w:qFormat/>
    <w:uiPriority w:val="99"/>
    <w:rPr>
      <w:kern w:val="2"/>
      <w:sz w:val="28"/>
      <w:szCs w:val="24"/>
    </w:rPr>
  </w:style>
  <w:style w:type="character" w:customStyle="1" w:styleId="140">
    <w:name w:val="纯文本 字符"/>
    <w:basedOn w:val="90"/>
    <w:link w:val="45"/>
    <w:semiHidden/>
    <w:qFormat/>
    <w:uiPriority w:val="99"/>
    <w:rPr>
      <w:rFonts w:hAnsi="Courier New" w:cs="Courier New" w:asciiTheme="minorEastAsia" w:eastAsiaTheme="minorEastAsia"/>
      <w:kern w:val="2"/>
      <w:sz w:val="28"/>
      <w:szCs w:val="24"/>
    </w:rPr>
  </w:style>
  <w:style w:type="character" w:customStyle="1" w:styleId="141">
    <w:name w:val="电子邮件签名 字符"/>
    <w:basedOn w:val="90"/>
    <w:link w:val="19"/>
    <w:semiHidden/>
    <w:qFormat/>
    <w:uiPriority w:val="99"/>
    <w:rPr>
      <w:kern w:val="2"/>
      <w:sz w:val="28"/>
      <w:szCs w:val="24"/>
    </w:rPr>
  </w:style>
  <w:style w:type="character" w:customStyle="1" w:styleId="142">
    <w:name w:val="副标题 字符"/>
    <w:basedOn w:val="90"/>
    <w:link w:val="64"/>
    <w:qFormat/>
    <w:uiPriority w:val="11"/>
    <w:rPr>
      <w:rFonts w:asciiTheme="minorHAnsi" w:hAnsiTheme="minorHAnsi" w:eastAsiaTheme="minorEastAsia" w:cstheme="minorBidi"/>
      <w:b/>
      <w:bCs/>
      <w:kern w:val="28"/>
      <w:sz w:val="32"/>
      <w:szCs w:val="32"/>
    </w:rPr>
  </w:style>
  <w:style w:type="character" w:customStyle="1" w:styleId="143">
    <w:name w:val="宏文本 字符"/>
    <w:basedOn w:val="90"/>
    <w:link w:val="2"/>
    <w:semiHidden/>
    <w:qFormat/>
    <w:uiPriority w:val="99"/>
    <w:rPr>
      <w:rFonts w:ascii="Courier New" w:hAnsi="Courier New" w:cs="Courier New"/>
      <w:kern w:val="2"/>
      <w:sz w:val="24"/>
      <w:szCs w:val="24"/>
    </w:rPr>
  </w:style>
  <w:style w:type="character" w:customStyle="1" w:styleId="144">
    <w:name w:val="结束语 字符"/>
    <w:basedOn w:val="90"/>
    <w:link w:val="32"/>
    <w:semiHidden/>
    <w:qFormat/>
    <w:uiPriority w:val="99"/>
    <w:rPr>
      <w:kern w:val="2"/>
      <w:sz w:val="28"/>
      <w:szCs w:val="24"/>
    </w:rPr>
  </w:style>
  <w:style w:type="paragraph" w:styleId="145">
    <w:name w:val="Intense Quote"/>
    <w:basedOn w:val="1"/>
    <w:next w:val="1"/>
    <w:link w:val="146"/>
    <w:semiHidden/>
    <w:unhideWhenUsed/>
    <w:qFormat/>
    <w:uiPriority w:val="99"/>
    <w:pPr>
      <w:pBdr>
        <w:top w:val="single" w:color="5B9BD5" w:themeColor="accent1" w:sz="4" w:space="10"/>
        <w:bottom w:val="single" w:color="5B9BD5" w:themeColor="accent1" w:sz="4" w:space="10"/>
      </w:pBdr>
      <w:spacing w:before="360" w:after="360"/>
      <w:ind w:left="864" w:right="864"/>
      <w:jc w:val="center"/>
    </w:pPr>
    <w:rPr>
      <w:i/>
      <w:iCs/>
      <w:color w:val="5B9BD5" w:themeColor="accent1"/>
      <w14:textFill>
        <w14:solidFill>
          <w14:schemeClr w14:val="accent1"/>
        </w14:solidFill>
      </w14:textFill>
    </w:rPr>
  </w:style>
  <w:style w:type="character" w:customStyle="1" w:styleId="146">
    <w:name w:val="明显引用 字符"/>
    <w:basedOn w:val="90"/>
    <w:link w:val="145"/>
    <w:semiHidden/>
    <w:qFormat/>
    <w:uiPriority w:val="99"/>
    <w:rPr>
      <w:i/>
      <w:iCs/>
      <w:color w:val="5B9BD5" w:themeColor="accent1"/>
      <w:kern w:val="2"/>
      <w:sz w:val="28"/>
      <w:szCs w:val="24"/>
      <w14:textFill>
        <w14:solidFill>
          <w14:schemeClr w14:val="accent1"/>
        </w14:solidFill>
      </w14:textFill>
    </w:rPr>
  </w:style>
  <w:style w:type="character" w:customStyle="1" w:styleId="147">
    <w:name w:val="签名 字符"/>
    <w:basedOn w:val="90"/>
    <w:link w:val="58"/>
    <w:semiHidden/>
    <w:qFormat/>
    <w:uiPriority w:val="99"/>
    <w:rPr>
      <w:kern w:val="2"/>
      <w:sz w:val="28"/>
      <w:szCs w:val="24"/>
    </w:rPr>
  </w:style>
  <w:style w:type="paragraph" w:customStyle="1" w:styleId="148">
    <w:name w:val="Bibliography"/>
    <w:basedOn w:val="1"/>
    <w:next w:val="1"/>
    <w:semiHidden/>
    <w:unhideWhenUsed/>
    <w:qFormat/>
    <w:uiPriority w:val="37"/>
  </w:style>
  <w:style w:type="character" w:customStyle="1" w:styleId="149">
    <w:name w:val="尾注文本 字符"/>
    <w:basedOn w:val="90"/>
    <w:link w:val="52"/>
    <w:semiHidden/>
    <w:qFormat/>
    <w:uiPriority w:val="99"/>
    <w:rPr>
      <w:kern w:val="2"/>
      <w:sz w:val="28"/>
      <w:szCs w:val="24"/>
    </w:rPr>
  </w:style>
  <w:style w:type="character" w:customStyle="1" w:styleId="150">
    <w:name w:val="文档结构图 字符"/>
    <w:basedOn w:val="90"/>
    <w:link w:val="26"/>
    <w:semiHidden/>
    <w:qFormat/>
    <w:uiPriority w:val="99"/>
    <w:rPr>
      <w:rFonts w:ascii="Microsoft YaHei UI" w:eastAsia="Microsoft YaHei UI"/>
      <w:kern w:val="2"/>
      <w:sz w:val="18"/>
      <w:szCs w:val="18"/>
    </w:rPr>
  </w:style>
  <w:style w:type="character" w:customStyle="1" w:styleId="151">
    <w:name w:val="信息标题 字符"/>
    <w:basedOn w:val="90"/>
    <w:link w:val="79"/>
    <w:semiHidden/>
    <w:qFormat/>
    <w:uiPriority w:val="99"/>
    <w:rPr>
      <w:rFonts w:asciiTheme="majorHAnsi" w:hAnsiTheme="majorHAnsi" w:eastAsiaTheme="majorEastAsia" w:cstheme="majorBidi"/>
      <w:kern w:val="2"/>
      <w:sz w:val="24"/>
      <w:szCs w:val="24"/>
      <w:shd w:val="pct20" w:color="auto" w:fill="auto"/>
    </w:rPr>
  </w:style>
  <w:style w:type="paragraph" w:styleId="152">
    <w:name w:val="Quote"/>
    <w:basedOn w:val="1"/>
    <w:next w:val="1"/>
    <w:link w:val="153"/>
    <w:semiHidden/>
    <w:unhideWhenUsed/>
    <w:qFormat/>
    <w:uiPriority w:val="99"/>
    <w:pPr>
      <w:spacing w:before="200" w:after="160"/>
      <w:ind w:left="864" w:right="864"/>
      <w:jc w:val="center"/>
    </w:pPr>
    <w:rPr>
      <w:i/>
      <w:iCs/>
      <w:color w:val="404040" w:themeColor="text1" w:themeTint="BF"/>
      <w14:textFill>
        <w14:solidFill>
          <w14:schemeClr w14:val="tx1">
            <w14:lumMod w14:val="75000"/>
            <w14:lumOff w14:val="25000"/>
          </w14:schemeClr>
        </w14:solidFill>
      </w14:textFill>
    </w:rPr>
  </w:style>
  <w:style w:type="character" w:customStyle="1" w:styleId="153">
    <w:name w:val="引用 字符"/>
    <w:basedOn w:val="90"/>
    <w:link w:val="152"/>
    <w:semiHidden/>
    <w:qFormat/>
    <w:uiPriority w:val="99"/>
    <w:rPr>
      <w:i/>
      <w:iCs/>
      <w:color w:val="404040" w:themeColor="text1" w:themeTint="BF"/>
      <w:kern w:val="2"/>
      <w:sz w:val="28"/>
      <w:szCs w:val="24"/>
      <w14:textFill>
        <w14:solidFill>
          <w14:schemeClr w14:val="tx1">
            <w14:lumMod w14:val="75000"/>
            <w14:lumOff w14:val="25000"/>
          </w14:schemeClr>
        </w14:solidFill>
      </w14:textFill>
    </w:rPr>
  </w:style>
  <w:style w:type="character" w:customStyle="1" w:styleId="154">
    <w:name w:val="正文文本 字符"/>
    <w:basedOn w:val="90"/>
    <w:link w:val="34"/>
    <w:semiHidden/>
    <w:qFormat/>
    <w:uiPriority w:val="99"/>
    <w:rPr>
      <w:kern w:val="2"/>
      <w:sz w:val="28"/>
      <w:szCs w:val="24"/>
    </w:rPr>
  </w:style>
  <w:style w:type="character" w:customStyle="1" w:styleId="155">
    <w:name w:val="正文文本 2 字符"/>
    <w:basedOn w:val="90"/>
    <w:link w:val="76"/>
    <w:semiHidden/>
    <w:qFormat/>
    <w:uiPriority w:val="99"/>
    <w:rPr>
      <w:kern w:val="2"/>
      <w:sz w:val="28"/>
      <w:szCs w:val="24"/>
    </w:rPr>
  </w:style>
  <w:style w:type="character" w:customStyle="1" w:styleId="156">
    <w:name w:val="正文文本 3 字符"/>
    <w:basedOn w:val="90"/>
    <w:link w:val="31"/>
    <w:semiHidden/>
    <w:qFormat/>
    <w:uiPriority w:val="99"/>
    <w:rPr>
      <w:kern w:val="2"/>
      <w:sz w:val="16"/>
      <w:szCs w:val="16"/>
    </w:rPr>
  </w:style>
  <w:style w:type="character" w:customStyle="1" w:styleId="157">
    <w:name w:val="正文文本首行缩进 字符"/>
    <w:basedOn w:val="154"/>
    <w:link w:val="86"/>
    <w:semiHidden/>
    <w:qFormat/>
    <w:uiPriority w:val="99"/>
    <w:rPr>
      <w:kern w:val="2"/>
      <w:sz w:val="28"/>
      <w:szCs w:val="24"/>
    </w:rPr>
  </w:style>
  <w:style w:type="character" w:customStyle="1" w:styleId="158">
    <w:name w:val="正文文本缩进 字符"/>
    <w:basedOn w:val="90"/>
    <w:link w:val="35"/>
    <w:semiHidden/>
    <w:qFormat/>
    <w:uiPriority w:val="99"/>
    <w:rPr>
      <w:kern w:val="2"/>
      <w:sz w:val="28"/>
      <w:szCs w:val="24"/>
    </w:rPr>
  </w:style>
  <w:style w:type="character" w:customStyle="1" w:styleId="159">
    <w:name w:val="正文文本首行缩进 2 字符"/>
    <w:basedOn w:val="158"/>
    <w:link w:val="87"/>
    <w:semiHidden/>
    <w:qFormat/>
    <w:uiPriority w:val="99"/>
    <w:rPr>
      <w:kern w:val="2"/>
      <w:sz w:val="28"/>
      <w:szCs w:val="24"/>
    </w:rPr>
  </w:style>
  <w:style w:type="character" w:customStyle="1" w:styleId="160">
    <w:name w:val="正文文本缩进 2 字符"/>
    <w:basedOn w:val="90"/>
    <w:link w:val="51"/>
    <w:semiHidden/>
    <w:qFormat/>
    <w:uiPriority w:val="99"/>
    <w:rPr>
      <w:kern w:val="2"/>
      <w:sz w:val="28"/>
      <w:szCs w:val="24"/>
    </w:rPr>
  </w:style>
  <w:style w:type="character" w:customStyle="1" w:styleId="161">
    <w:name w:val="正文文本缩进 3 字符"/>
    <w:basedOn w:val="90"/>
    <w:link w:val="70"/>
    <w:semiHidden/>
    <w:qFormat/>
    <w:uiPriority w:val="99"/>
    <w:rPr>
      <w:kern w:val="2"/>
      <w:sz w:val="16"/>
      <w:szCs w:val="16"/>
    </w:rPr>
  </w:style>
  <w:style w:type="character" w:customStyle="1" w:styleId="162">
    <w:name w:val="注释标题 字符"/>
    <w:basedOn w:val="90"/>
    <w:link w:val="16"/>
    <w:semiHidden/>
    <w:qFormat/>
    <w:uiPriority w:val="99"/>
    <w:rPr>
      <w:kern w:val="2"/>
      <w:sz w:val="28"/>
      <w:szCs w:val="24"/>
    </w:rPr>
  </w:style>
  <w:style w:type="character" w:customStyle="1" w:styleId="163">
    <w:name w:val="font31"/>
    <w:basedOn w:val="90"/>
    <w:qFormat/>
    <w:uiPriority w:val="0"/>
    <w:rPr>
      <w:rFonts w:hint="default" w:ascii="Times New Roman" w:hAnsi="Times New Roman" w:cs="Times New Roman"/>
      <w:color w:val="000000"/>
      <w:sz w:val="20"/>
      <w:szCs w:val="20"/>
      <w:u w:val="none"/>
      <w:vertAlign w:val="subscript"/>
    </w:rPr>
  </w:style>
  <w:style w:type="paragraph" w:customStyle="1" w:styleId="164">
    <w:name w:val="标准文件_参考文献标题"/>
    <w:basedOn w:val="1"/>
    <w:next w:val="1"/>
    <w:qFormat/>
    <w:uiPriority w:val="0"/>
    <w:pPr>
      <w:widowControl/>
      <w:shd w:val="clear" w:color="FFFFFF" w:fill="FFFFFF"/>
      <w:adjustRightInd/>
      <w:spacing w:before="580" w:after="50" w:afterLines="50" w:line="240" w:lineRule="auto"/>
      <w:jc w:val="center"/>
      <w:outlineLvl w:val="0"/>
    </w:pPr>
    <w:rPr>
      <w:rFonts w:ascii="黑体" w:eastAsia="黑体"/>
      <w:kern w:val="0"/>
    </w:rPr>
  </w:style>
  <w:style w:type="character" w:customStyle="1" w:styleId="165">
    <w:name w:val="批注文字 Char"/>
    <w:basedOn w:val="90"/>
    <w:link w:val="28"/>
    <w:qFormat/>
    <w:uiPriority w:val="0"/>
    <w:rPr>
      <w:rFonts w:hint="default" w:ascii="Calibri" w:hAnsi="Calibri" w:eastAsia="宋体" w:cs="Times New Roman"/>
      <w:kern w:val="2"/>
      <w:sz w:val="21"/>
      <w:szCs w:val="24"/>
    </w:rPr>
  </w:style>
  <w:style w:type="paragraph" w:customStyle="1" w:styleId="166">
    <w:name w:val="EndNote Bibliography"/>
    <w:basedOn w:val="1"/>
    <w:qFormat/>
    <w:uiPriority w:val="0"/>
    <w:rPr>
      <w:rFonts w:ascii="等线" w:hAnsi="等线" w:eastAsia="等线"/>
      <w:sz w:val="20"/>
    </w:rPr>
  </w:style>
  <w:style w:type="character" w:customStyle="1" w:styleId="167">
    <w:name w:val="font81"/>
    <w:basedOn w:val="90"/>
    <w:qFormat/>
    <w:uiPriority w:val="0"/>
    <w:rPr>
      <w:rFonts w:hint="default" w:ascii="Times New Roman" w:hAnsi="Times New Roman" w:cs="Times New Roman"/>
      <w:b/>
      <w:bCs/>
      <w:color w:val="000000"/>
      <w:sz w:val="21"/>
      <w:szCs w:val="21"/>
      <w:u w:val="none"/>
    </w:rPr>
  </w:style>
  <w:style w:type="character" w:customStyle="1" w:styleId="168">
    <w:name w:val="font91"/>
    <w:basedOn w:val="90"/>
    <w:qFormat/>
    <w:uiPriority w:val="0"/>
    <w:rPr>
      <w:rFonts w:hint="default" w:ascii="Times New Roman" w:hAnsi="Times New Roman" w:cs="Times New Roman"/>
      <w:b/>
      <w:bCs/>
      <w:color w:val="000000"/>
      <w:sz w:val="21"/>
      <w:szCs w:val="21"/>
      <w:u w:val="none"/>
      <w:vertAlign w:val="subscript"/>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3.png"/><Relationship Id="rId14" Type="http://schemas.openxmlformats.org/officeDocument/2006/relationships/image" Target="media/image2.png"/><Relationship Id="rId13" Type="http://schemas.openxmlformats.org/officeDocument/2006/relationships/image" Target="media/image1.wmf"/><Relationship Id="rId12" Type="http://schemas.openxmlformats.org/officeDocument/2006/relationships/oleObject" Target="embeddings/oleObject1.bin"/><Relationship Id="rId11" Type="http://schemas.openxmlformats.org/officeDocument/2006/relationships/theme" Target="theme/theme1.xml"/><Relationship Id="rId10" Type="http://schemas.openxmlformats.org/officeDocument/2006/relationships/footer" Target="footer4.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36</Pages>
  <Words>5589</Words>
  <Characters>6066</Characters>
  <Lines>1</Lines>
  <Paragraphs>1</Paragraphs>
  <TotalTime>5</TotalTime>
  <ScaleCrop>false</ScaleCrop>
  <LinksUpToDate>false</LinksUpToDate>
  <CharactersWithSpaces>6135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2024-09-30T16:16:00Z</dcterms:created>
  <dc:creator>8613601097789</dc:creator>
  <cp:lastModifiedBy>知行小书童besos</cp:lastModifiedBy>
  <dcterms:modified xsi:type="dcterms:W3CDTF">2025-03-19T00:38:55Z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FFDF9C71FCC3480497ECA21017C9581A_13</vt:lpwstr>
  </property>
  <property fmtid="{D5CDD505-2E9C-101B-9397-08002B2CF9AE}" pid="4" name="MTWinEqns">
    <vt:bool>true</vt:bool>
  </property>
  <property fmtid="{D5CDD505-2E9C-101B-9397-08002B2CF9AE}" pid="5" name="KSOTemplateDocerSaveRecord">
    <vt:lpwstr>eyJoZGlkIjoiMTg1ODViM2U3NmVmZjE5YmMyNjJjMjY2MWNlZWY0YjMiLCJ1c2VySWQiOiIxNDYzNTUyODM0In0=</vt:lpwstr>
  </property>
</Properties>
</file>